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AB" w:rsidRPr="00E87523" w:rsidRDefault="005C56AB" w:rsidP="005C56AB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lang w:val="eu-ES"/>
        </w:rPr>
      </w:pPr>
      <w:r w:rsidRPr="00E87523">
        <w:rPr>
          <w:rFonts w:cs="Arial"/>
          <w:b/>
          <w:lang w:val="eu-ES"/>
        </w:rPr>
        <w:t xml:space="preserve">Irudia: </w:t>
      </w:r>
      <w:r w:rsidRPr="00E87523">
        <w:rPr>
          <w:rFonts w:cs="Arial"/>
          <w:lang w:val="eu-ES"/>
        </w:rPr>
        <w:t xml:space="preserve">2009 eta 2014 urte bitartean merkaturatu diren sustantzia </w:t>
      </w:r>
      <w:proofErr w:type="spellStart"/>
      <w:r w:rsidRPr="00E87523">
        <w:rPr>
          <w:rFonts w:cs="Arial"/>
          <w:lang w:val="eu-ES"/>
        </w:rPr>
        <w:t>psikoaktibo</w:t>
      </w:r>
      <w:proofErr w:type="spellEnd"/>
      <w:r w:rsidRPr="00E87523">
        <w:rPr>
          <w:rFonts w:cs="Arial"/>
          <w:lang w:val="eu-ES"/>
        </w:rPr>
        <w:t xml:space="preserve"> </w:t>
      </w:r>
      <w:proofErr w:type="spellStart"/>
      <w:r w:rsidRPr="00E87523">
        <w:rPr>
          <w:rFonts w:cs="Arial"/>
          <w:lang w:val="eu-ES"/>
        </w:rPr>
        <w:t>berria</w:t>
      </w:r>
      <w:r>
        <w:rPr>
          <w:rFonts w:cs="Arial"/>
          <w:lang w:val="eu-ES"/>
        </w:rPr>
        <w:t>en</w:t>
      </w:r>
      <w:proofErr w:type="spellEnd"/>
      <w:r>
        <w:rPr>
          <w:rFonts w:cs="Arial"/>
          <w:lang w:val="eu-ES"/>
        </w:rPr>
        <w:t xml:space="preserve"> kopurua</w:t>
      </w:r>
      <w:r w:rsidRPr="00E87523">
        <w:rPr>
          <w:rFonts w:cs="Arial"/>
          <w:lang w:val="eu-ES"/>
        </w:rPr>
        <w:t xml:space="preserve"> (UNODC, sustantzia </w:t>
      </w:r>
      <w:proofErr w:type="spellStart"/>
      <w:r w:rsidRPr="00E87523">
        <w:rPr>
          <w:rFonts w:cs="Arial"/>
          <w:lang w:val="eu-ES"/>
        </w:rPr>
        <w:t>psikoaktibo</w:t>
      </w:r>
      <w:proofErr w:type="spellEnd"/>
      <w:r w:rsidRPr="00E87523">
        <w:rPr>
          <w:rFonts w:cs="Arial"/>
          <w:lang w:val="eu-ES"/>
        </w:rPr>
        <w:t xml:space="preserve"> berrien detekzio goiztiarra, 2009-2014) </w:t>
      </w:r>
    </w:p>
    <w:p w:rsidR="005C56AB" w:rsidRPr="00E87523" w:rsidRDefault="005C56AB" w:rsidP="005C56AB">
      <w:pPr>
        <w:spacing w:line="360" w:lineRule="auto"/>
        <w:jc w:val="both"/>
        <w:rPr>
          <w:rFonts w:cs="Arial"/>
          <w:b/>
          <w:lang w:val="eu-ES"/>
        </w:rPr>
      </w:pPr>
      <w:r w:rsidRPr="00863FFF">
        <w:rPr>
          <w:rFonts w:cs="Arial"/>
          <w:b/>
          <w:noProof/>
          <w:lang w:val="eu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.85pt;margin-top:325.9pt;width:397.05pt;height:42.35pt;z-index:251658240;mso-width-relative:margin;mso-height-relative:margin" stroked="f">
            <v:textbox style="mso-next-textbox:#_x0000_s1027">
              <w:txbxContent>
                <w:p w:rsidR="005C56AB" w:rsidRPr="002F2335" w:rsidRDefault="005C56AB" w:rsidP="005C56AB">
                  <w:pPr>
                    <w:rPr>
                      <w:lang w:val="eu-ES"/>
                    </w:rPr>
                  </w:pPr>
                  <w:r w:rsidRPr="00E714C6">
                    <w:rPr>
                      <w:lang w:val="eu-ES"/>
                    </w:rPr>
                    <w:t xml:space="preserve">Urte horretan ezagunak ziren sustantzia </w:t>
                  </w:r>
                  <w:proofErr w:type="spellStart"/>
                  <w:r w:rsidRPr="00E714C6">
                    <w:rPr>
                      <w:lang w:val="eu-ES"/>
                    </w:rPr>
                    <w:t>psikoaktibo</w:t>
                  </w:r>
                  <w:proofErr w:type="spellEnd"/>
                  <w:r w:rsidRPr="00E714C6">
                    <w:rPr>
                      <w:lang w:val="eu-ES"/>
                    </w:rPr>
                    <w:t xml:space="preserve"> berrien zenbatekoa</w:t>
                  </w:r>
                </w:p>
                <w:p w:rsidR="005C56AB" w:rsidRDefault="005C56AB" w:rsidP="005C56AB"/>
              </w:txbxContent>
            </v:textbox>
          </v:shape>
        </w:pict>
      </w:r>
      <w:r w:rsidRPr="00863FFF">
        <w:rPr>
          <w:rFonts w:cs="Arial"/>
          <w:b/>
          <w:noProof/>
          <w:lang w:val="eu-ES"/>
        </w:rPr>
        <w:pict>
          <v:shape id="_x0000_s1026" type="#_x0000_t202" style="position:absolute;left:0;text-align:left;margin-left:15.1pt;margin-top:277.15pt;width:450.35pt;height:41.2pt;z-index:251658240;mso-width-relative:margin;mso-height-relative:margin" stroked="f">
            <v:textbox style="mso-next-textbox:#_x0000_s1026">
              <w:txbxContent>
                <w:p w:rsidR="005C56AB" w:rsidRPr="002F2335" w:rsidRDefault="005C56AB" w:rsidP="005C56AB">
                  <w:pPr>
                    <w:rPr>
                      <w:lang w:val="eu-ES"/>
                    </w:rPr>
                  </w:pPr>
                  <w:r w:rsidRPr="00E714C6">
                    <w:rPr>
                      <w:lang w:val="eu-ES"/>
                    </w:rPr>
                    <w:t xml:space="preserve">Lehenengo aldiz urte horretan detektatu diren sustantzia </w:t>
                  </w:r>
                  <w:proofErr w:type="spellStart"/>
                  <w:r w:rsidRPr="00E714C6">
                    <w:rPr>
                      <w:lang w:val="eu-ES"/>
                    </w:rPr>
                    <w:t>psikoaktibo</w:t>
                  </w:r>
                  <w:proofErr w:type="spellEnd"/>
                  <w:r w:rsidRPr="00E714C6">
                    <w:rPr>
                      <w:lang w:val="eu-ES"/>
                    </w:rPr>
                    <w:t xml:space="preserve"> berrien zenbatekoa</w:t>
                  </w:r>
                </w:p>
                <w:p w:rsidR="005C56AB" w:rsidRDefault="005C56AB" w:rsidP="005C56AB"/>
              </w:txbxContent>
            </v:textbox>
          </v:shape>
        </w:pict>
      </w:r>
      <w:r w:rsidRPr="00E87523">
        <w:rPr>
          <w:rFonts w:cs="Arial"/>
          <w:b/>
          <w:noProof/>
          <w:lang w:eastAsia="es-ES"/>
        </w:rPr>
        <w:drawing>
          <wp:inline distT="0" distB="0" distL="0" distR="0">
            <wp:extent cx="4381500" cy="3521818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985" cy="35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7523">
        <w:rPr>
          <w:rFonts w:cs="Arial"/>
          <w:b/>
          <w:noProof/>
          <w:lang w:eastAsia="es-ES"/>
        </w:rPr>
        <w:drawing>
          <wp:inline distT="0" distB="0" distL="0" distR="0">
            <wp:extent cx="5267325" cy="11049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23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6AB" w:rsidRPr="00E87523" w:rsidRDefault="005C56AB" w:rsidP="005C56AB">
      <w:pPr>
        <w:spacing w:line="360" w:lineRule="auto"/>
        <w:jc w:val="both"/>
        <w:rPr>
          <w:rFonts w:cs="Arial"/>
          <w:b/>
          <w:lang w:val="eu-ES"/>
        </w:rPr>
      </w:pPr>
      <w:r w:rsidRPr="00E87523">
        <w:rPr>
          <w:rFonts w:cs="Arial"/>
          <w:b/>
          <w:lang w:val="eu-ES"/>
        </w:rPr>
        <w:br w:type="page"/>
      </w:r>
    </w:p>
    <w:p w:rsidR="005C56AB" w:rsidRPr="00E87523" w:rsidRDefault="005C56AB" w:rsidP="005C56AB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b/>
          <w:lang w:val="eu-ES"/>
        </w:rPr>
      </w:pPr>
      <w:r w:rsidRPr="00E87523">
        <w:rPr>
          <w:rFonts w:cs="Arial"/>
          <w:b/>
          <w:lang w:val="eu-ES"/>
        </w:rPr>
        <w:lastRenderedPageBreak/>
        <w:t xml:space="preserve">Irudia: </w:t>
      </w:r>
      <w:r w:rsidRPr="00E87523">
        <w:rPr>
          <w:rFonts w:cs="Arial"/>
          <w:lang w:val="eu-ES"/>
        </w:rPr>
        <w:t xml:space="preserve">2014. urtean merkaturatu ziren sustantzia </w:t>
      </w:r>
      <w:proofErr w:type="spellStart"/>
      <w:r w:rsidRPr="00E87523">
        <w:rPr>
          <w:rFonts w:cs="Arial"/>
          <w:lang w:val="eu-ES"/>
        </w:rPr>
        <w:t>psikoaktibo</w:t>
      </w:r>
      <w:r>
        <w:rPr>
          <w:rFonts w:cs="Arial"/>
          <w:lang w:val="eu-ES"/>
        </w:rPr>
        <w:t>en</w:t>
      </w:r>
      <w:proofErr w:type="spellEnd"/>
      <w:r w:rsidRPr="00E87523">
        <w:rPr>
          <w:rFonts w:cs="Arial"/>
          <w:lang w:val="eu-ES"/>
        </w:rPr>
        <w:t xml:space="preserve"> taldeak (UNODC, sustantzia </w:t>
      </w:r>
      <w:proofErr w:type="spellStart"/>
      <w:r w:rsidRPr="00E87523">
        <w:rPr>
          <w:rFonts w:cs="Arial"/>
          <w:lang w:val="eu-ES"/>
        </w:rPr>
        <w:t>psikoaktibo</w:t>
      </w:r>
      <w:proofErr w:type="spellEnd"/>
      <w:r w:rsidRPr="00E87523">
        <w:rPr>
          <w:rFonts w:cs="Arial"/>
          <w:lang w:val="eu-ES"/>
        </w:rPr>
        <w:t xml:space="preserve"> berrien detekzio goiztiarra, 2009-2014)</w:t>
      </w:r>
      <w:r w:rsidRPr="00E87523">
        <w:rPr>
          <w:rFonts w:cs="Arial"/>
          <w:b/>
          <w:noProof/>
          <w:lang w:eastAsia="es-ES"/>
        </w:rPr>
        <w:drawing>
          <wp:inline distT="0" distB="0" distL="0" distR="0">
            <wp:extent cx="2867025" cy="2857500"/>
            <wp:effectExtent l="1905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91" r="7989" b="2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6AB" w:rsidRPr="00E87523" w:rsidRDefault="005C56AB" w:rsidP="005C56AB">
      <w:pPr>
        <w:pStyle w:val="Prrafodelista"/>
        <w:spacing w:line="360" w:lineRule="auto"/>
        <w:jc w:val="both"/>
        <w:rPr>
          <w:rFonts w:cs="Arial"/>
          <w:b/>
          <w:lang w:val="eu-ES"/>
        </w:rPr>
      </w:pPr>
      <w:r w:rsidRPr="00863FFF">
        <w:rPr>
          <w:rFonts w:cs="Arial"/>
          <w:noProof/>
          <w:lang w:val="eu-ES"/>
        </w:rPr>
        <w:pict>
          <v:shape id="_x0000_s1028" type="#_x0000_t202" style="position:absolute;left:0;text-align:left;margin-left:51.1pt;margin-top:18.4pt;width:170.1pt;height:109.05pt;z-index:251662336;mso-width-percent:400;mso-width-percent:400;mso-width-relative:margin;mso-height-relative:margin" stroked="f">
            <v:textbox>
              <w:txbxContent>
                <w:p w:rsidR="005C56AB" w:rsidRDefault="005C56AB" w:rsidP="005C56AB">
                  <w:pPr>
                    <w:spacing w:after="120" w:line="192" w:lineRule="auto"/>
                  </w:pPr>
                  <w:proofErr w:type="spellStart"/>
                  <w:r>
                    <w:t>Aminoindanoak</w:t>
                  </w:r>
                  <w:proofErr w:type="spellEnd"/>
                </w:p>
                <w:p w:rsidR="005C56AB" w:rsidRDefault="005C56AB" w:rsidP="005C56AB">
                  <w:pPr>
                    <w:spacing w:after="120" w:line="192" w:lineRule="auto"/>
                  </w:pPr>
                  <w:proofErr w:type="spellStart"/>
                  <w:r>
                    <w:t>Ketaminaren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antzeko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sustantziak</w:t>
                  </w:r>
                  <w:proofErr w:type="spellEnd"/>
                </w:p>
                <w:p w:rsidR="005C56AB" w:rsidRPr="00962219" w:rsidRDefault="005C56AB" w:rsidP="005C56AB">
                  <w:pPr>
                    <w:spacing w:after="120" w:line="192" w:lineRule="auto"/>
                    <w:rPr>
                      <w:sz w:val="12"/>
                      <w:szCs w:val="12"/>
                    </w:rPr>
                  </w:pPr>
                </w:p>
                <w:p w:rsidR="005C56AB" w:rsidRDefault="005C56AB" w:rsidP="005C56AB">
                  <w:pPr>
                    <w:spacing w:after="120" w:line="192" w:lineRule="auto"/>
                  </w:pPr>
                  <w:proofErr w:type="spellStart"/>
                  <w:r>
                    <w:t>Beste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sustantzia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batzuk</w:t>
                  </w:r>
                  <w:proofErr w:type="spellEnd"/>
                </w:p>
                <w:p w:rsidR="005C56AB" w:rsidRDefault="005C56AB" w:rsidP="005C56AB">
                  <w:pPr>
                    <w:spacing w:after="120" w:line="192" w:lineRule="auto"/>
                  </w:pPr>
                  <w:proofErr w:type="spellStart"/>
                  <w:r>
                    <w:t>Feniletilaminak</w:t>
                  </w:r>
                  <w:proofErr w:type="spellEnd"/>
                </w:p>
              </w:txbxContent>
            </v:textbox>
          </v:shape>
        </w:pict>
      </w:r>
    </w:p>
    <w:p w:rsidR="005C56AB" w:rsidRPr="00E87523" w:rsidRDefault="005C56AB" w:rsidP="005C56AB">
      <w:pPr>
        <w:pStyle w:val="Prrafodelista"/>
        <w:spacing w:line="360" w:lineRule="auto"/>
        <w:jc w:val="both"/>
        <w:rPr>
          <w:rFonts w:cs="Arial"/>
          <w:b/>
          <w:lang w:val="eu-ES"/>
        </w:rPr>
      </w:pPr>
      <w:r w:rsidRPr="00863FFF">
        <w:rPr>
          <w:rFonts w:cs="Arial"/>
          <w:b/>
          <w:noProof/>
          <w:lang w:val="eu-ES" w:eastAsia="es-ES"/>
        </w:rPr>
        <w:pict>
          <v:shape id="_x0000_s1029" type="#_x0000_t202" style="position:absolute;left:0;text-align:left;margin-left:260.35pt;margin-top:-.05pt;width:170.05pt;height:109.05pt;z-index:251663360;mso-width-percent:400;mso-width-percent:400;mso-width-relative:margin;mso-height-relative:margin" stroked="f">
            <v:textbox>
              <w:txbxContent>
                <w:p w:rsidR="005C56AB" w:rsidRDefault="005C56AB" w:rsidP="005C56AB">
                  <w:pPr>
                    <w:spacing w:after="120" w:line="168" w:lineRule="auto"/>
                  </w:pPr>
                  <w:proofErr w:type="spellStart"/>
                  <w:r>
                    <w:t>Piperazinak</w:t>
                  </w:r>
                  <w:proofErr w:type="spellEnd"/>
                </w:p>
                <w:p w:rsidR="005C56AB" w:rsidRDefault="005C56AB" w:rsidP="005C56AB">
                  <w:pPr>
                    <w:spacing w:after="120" w:line="168" w:lineRule="auto"/>
                  </w:pPr>
                  <w:proofErr w:type="spellStart"/>
                  <w:r>
                    <w:t>Landare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jatorria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dutensustantziak</w:t>
                  </w:r>
                  <w:proofErr w:type="spellEnd"/>
                </w:p>
                <w:p w:rsidR="005C56AB" w:rsidRDefault="005C56AB" w:rsidP="005C56AB">
                  <w:pPr>
                    <w:spacing w:after="120" w:line="168" w:lineRule="auto"/>
                  </w:pPr>
                  <w:proofErr w:type="spellStart"/>
                  <w:r>
                    <w:t>Kannabinoide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sintetikoak</w:t>
                  </w:r>
                  <w:proofErr w:type="spellEnd"/>
                </w:p>
                <w:p w:rsidR="005C56AB" w:rsidRDefault="005C56AB" w:rsidP="005C56AB">
                  <w:pPr>
                    <w:spacing w:after="120" w:line="168" w:lineRule="auto"/>
                  </w:pPr>
                  <w:proofErr w:type="spellStart"/>
                  <w:r>
                    <w:t>Katinona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sintetikoak</w:t>
                  </w:r>
                  <w:proofErr w:type="spellEnd"/>
                </w:p>
                <w:p w:rsidR="005C56AB" w:rsidRDefault="005C56AB" w:rsidP="005C56AB">
                  <w:pPr>
                    <w:spacing w:after="120" w:line="168" w:lineRule="auto"/>
                  </w:pPr>
                  <w:proofErr w:type="spellStart"/>
                  <w:r>
                    <w:t>Triptaminak</w:t>
                  </w:r>
                  <w:proofErr w:type="spellEnd"/>
                </w:p>
              </w:txbxContent>
            </v:textbox>
          </v:shape>
        </w:pict>
      </w:r>
      <w:r w:rsidRPr="00E87523">
        <w:rPr>
          <w:rFonts w:cs="Arial"/>
          <w:b/>
          <w:noProof/>
          <w:lang w:eastAsia="es-ES"/>
        </w:rPr>
        <w:drawing>
          <wp:inline distT="0" distB="0" distL="0" distR="0">
            <wp:extent cx="4583430" cy="1038225"/>
            <wp:effectExtent l="1905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6AB" w:rsidRPr="00E87523" w:rsidRDefault="005C56AB" w:rsidP="005C56AB">
      <w:pPr>
        <w:pStyle w:val="Prrafodelista"/>
        <w:spacing w:line="360" w:lineRule="auto"/>
        <w:jc w:val="both"/>
        <w:rPr>
          <w:rFonts w:cs="Arial"/>
          <w:b/>
          <w:lang w:val="eu-ES"/>
        </w:rPr>
      </w:pPr>
    </w:p>
    <w:p w:rsidR="005C56AB" w:rsidRPr="00E87523" w:rsidRDefault="005C56AB" w:rsidP="005C56AB">
      <w:pPr>
        <w:spacing w:line="360" w:lineRule="auto"/>
        <w:jc w:val="both"/>
        <w:rPr>
          <w:rFonts w:ascii="FranklinGothic-Book" w:hAnsi="FranklinGothic-Book" w:cs="FranklinGothic-Book"/>
          <w:sz w:val="20"/>
          <w:szCs w:val="20"/>
          <w:lang w:val="eu-ES"/>
        </w:rPr>
      </w:pPr>
      <w:r w:rsidRPr="00E87523">
        <w:rPr>
          <w:rFonts w:ascii="FranklinGothic-Book" w:hAnsi="FranklinGothic-Book" w:cs="FranklinGothic-Book"/>
          <w:sz w:val="20"/>
          <w:szCs w:val="20"/>
          <w:lang w:val="eu-ES"/>
        </w:rPr>
        <w:br w:type="page"/>
      </w:r>
    </w:p>
    <w:p w:rsidR="005C56AB" w:rsidRPr="00303CFE" w:rsidRDefault="005C56AB" w:rsidP="005C56AB">
      <w:pPr>
        <w:pStyle w:val="Prrafodelista"/>
        <w:numPr>
          <w:ilvl w:val="0"/>
          <w:numId w:val="1"/>
        </w:numPr>
        <w:rPr>
          <w:rFonts w:cs="Arial"/>
          <w:b/>
          <w:lang w:val="eu-ES"/>
        </w:rPr>
      </w:pPr>
      <w:r>
        <w:rPr>
          <w:rFonts w:cs="Arial"/>
          <w:b/>
          <w:lang w:val="eu-ES"/>
        </w:rPr>
        <w:lastRenderedPageBreak/>
        <w:t xml:space="preserve">Irudia: </w:t>
      </w:r>
      <w:proofErr w:type="spellStart"/>
      <w:r w:rsidRPr="00303CFE">
        <w:rPr>
          <w:rFonts w:cs="Arial"/>
          <w:lang w:val="eu-ES"/>
        </w:rPr>
        <w:t>Feniletilamina</w:t>
      </w:r>
      <w:proofErr w:type="spellEnd"/>
      <w:r w:rsidRPr="00303CFE">
        <w:rPr>
          <w:rFonts w:cs="Arial"/>
          <w:lang w:val="eu-ES"/>
        </w:rPr>
        <w:t xml:space="preserve"> egitura duten sustantzia </w:t>
      </w:r>
      <w:proofErr w:type="spellStart"/>
      <w:r w:rsidRPr="00303CFE">
        <w:rPr>
          <w:rFonts w:cs="Arial"/>
          <w:lang w:val="eu-ES"/>
        </w:rPr>
        <w:t>psikoaktibo</w:t>
      </w:r>
      <w:proofErr w:type="spellEnd"/>
      <w:r w:rsidRPr="00303CFE">
        <w:rPr>
          <w:rFonts w:cs="Arial"/>
          <w:lang w:val="eu-ES"/>
        </w:rPr>
        <w:t xml:space="preserve"> berrien eta </w:t>
      </w:r>
      <w:proofErr w:type="spellStart"/>
      <w:r w:rsidRPr="00303CFE">
        <w:rPr>
          <w:rFonts w:cs="Arial"/>
          <w:lang w:val="eu-ES"/>
        </w:rPr>
        <w:t>monoamina</w:t>
      </w:r>
      <w:proofErr w:type="spellEnd"/>
      <w:r w:rsidRPr="00303CFE">
        <w:rPr>
          <w:rFonts w:cs="Arial"/>
          <w:lang w:val="eu-ES"/>
        </w:rPr>
        <w:t xml:space="preserve"> neurotransmisoreen egitura kimikoak</w:t>
      </w:r>
    </w:p>
    <w:p w:rsidR="005C56AB" w:rsidRDefault="005C56AB" w:rsidP="005C56AB">
      <w:pPr>
        <w:pStyle w:val="Prrafodelista"/>
        <w:rPr>
          <w:rFonts w:cs="Arial"/>
          <w:b/>
          <w:lang w:val="eu-ES"/>
        </w:rPr>
      </w:pPr>
    </w:p>
    <w:p w:rsidR="005C56AB" w:rsidRDefault="005C56AB" w:rsidP="005C56AB">
      <w:pPr>
        <w:pStyle w:val="Prrafodelista"/>
        <w:rPr>
          <w:rFonts w:cs="Arial"/>
          <w:b/>
          <w:lang w:val="eu-ES"/>
        </w:rPr>
      </w:pPr>
    </w:p>
    <w:p w:rsidR="00B932CD" w:rsidRDefault="005C56AB" w:rsidP="005C56AB">
      <w:pPr>
        <w:pStyle w:val="Prrafodelista"/>
      </w:pPr>
      <w:r>
        <w:rPr>
          <w:rFonts w:cs="Arial"/>
          <w:b/>
          <w:noProof/>
          <w:lang w:eastAsia="es-ES"/>
        </w:rPr>
        <w:drawing>
          <wp:inline distT="0" distB="0" distL="0" distR="0">
            <wp:extent cx="5400040" cy="3145327"/>
            <wp:effectExtent l="0" t="0" r="0" b="0"/>
            <wp:docPr id="6" name="Imagen 4" descr="F:\Portátil EHU\Igor\OSAGAIZ\Sustantzia berriak\Feniletilamin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ortátil EHU\Igor\OSAGAIZ\Sustantzia berriak\Feniletilamina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5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32CD" w:rsidSect="00B932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Book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F512D"/>
    <w:multiLevelType w:val="hybridMultilevel"/>
    <w:tmpl w:val="FAD45A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C56AB"/>
    <w:rsid w:val="0001665C"/>
    <w:rsid w:val="00045D56"/>
    <w:rsid w:val="00047308"/>
    <w:rsid w:val="00073BEF"/>
    <w:rsid w:val="00087D8B"/>
    <w:rsid w:val="00096BA3"/>
    <w:rsid w:val="000A7F7A"/>
    <w:rsid w:val="000C3DF5"/>
    <w:rsid w:val="000C55FC"/>
    <w:rsid w:val="000C6B33"/>
    <w:rsid w:val="000D565C"/>
    <w:rsid w:val="00111001"/>
    <w:rsid w:val="00142E99"/>
    <w:rsid w:val="00153185"/>
    <w:rsid w:val="00182C0B"/>
    <w:rsid w:val="001968EE"/>
    <w:rsid w:val="001A20AF"/>
    <w:rsid w:val="001B23CA"/>
    <w:rsid w:val="001C1990"/>
    <w:rsid w:val="001C5BF4"/>
    <w:rsid w:val="001D00C5"/>
    <w:rsid w:val="001F48BC"/>
    <w:rsid w:val="00230045"/>
    <w:rsid w:val="00231F11"/>
    <w:rsid w:val="00250D0C"/>
    <w:rsid w:val="002600A2"/>
    <w:rsid w:val="00260698"/>
    <w:rsid w:val="0028012A"/>
    <w:rsid w:val="00291BE8"/>
    <w:rsid w:val="00292B71"/>
    <w:rsid w:val="0029441E"/>
    <w:rsid w:val="002D3569"/>
    <w:rsid w:val="00300A70"/>
    <w:rsid w:val="00302A75"/>
    <w:rsid w:val="00304647"/>
    <w:rsid w:val="00307504"/>
    <w:rsid w:val="00313931"/>
    <w:rsid w:val="003165E2"/>
    <w:rsid w:val="00336CF7"/>
    <w:rsid w:val="003463B2"/>
    <w:rsid w:val="00354095"/>
    <w:rsid w:val="003703F1"/>
    <w:rsid w:val="00371A72"/>
    <w:rsid w:val="003724B3"/>
    <w:rsid w:val="00373881"/>
    <w:rsid w:val="003854BD"/>
    <w:rsid w:val="003B16AE"/>
    <w:rsid w:val="003B74A8"/>
    <w:rsid w:val="003C667D"/>
    <w:rsid w:val="003D0FC1"/>
    <w:rsid w:val="003D5B50"/>
    <w:rsid w:val="003E02CA"/>
    <w:rsid w:val="003E19CD"/>
    <w:rsid w:val="003E3311"/>
    <w:rsid w:val="003E3AA5"/>
    <w:rsid w:val="00405F70"/>
    <w:rsid w:val="00413F21"/>
    <w:rsid w:val="00415B2F"/>
    <w:rsid w:val="00422BE7"/>
    <w:rsid w:val="004352C9"/>
    <w:rsid w:val="00473651"/>
    <w:rsid w:val="004A46E8"/>
    <w:rsid w:val="004B57AC"/>
    <w:rsid w:val="004B632E"/>
    <w:rsid w:val="004F6CA7"/>
    <w:rsid w:val="00503536"/>
    <w:rsid w:val="005054F4"/>
    <w:rsid w:val="00525B87"/>
    <w:rsid w:val="005371B5"/>
    <w:rsid w:val="00542652"/>
    <w:rsid w:val="00555A9E"/>
    <w:rsid w:val="005662D2"/>
    <w:rsid w:val="0057718B"/>
    <w:rsid w:val="00590553"/>
    <w:rsid w:val="005A0C7A"/>
    <w:rsid w:val="005A36E4"/>
    <w:rsid w:val="005B0FDD"/>
    <w:rsid w:val="005C56AB"/>
    <w:rsid w:val="005E4255"/>
    <w:rsid w:val="005E6658"/>
    <w:rsid w:val="005F40E1"/>
    <w:rsid w:val="006077C3"/>
    <w:rsid w:val="00652423"/>
    <w:rsid w:val="0065370C"/>
    <w:rsid w:val="006550BA"/>
    <w:rsid w:val="0067787F"/>
    <w:rsid w:val="00695FE2"/>
    <w:rsid w:val="006C0E12"/>
    <w:rsid w:val="006E2D30"/>
    <w:rsid w:val="006F37D6"/>
    <w:rsid w:val="0071687F"/>
    <w:rsid w:val="0077482E"/>
    <w:rsid w:val="00780981"/>
    <w:rsid w:val="00785A27"/>
    <w:rsid w:val="007B3076"/>
    <w:rsid w:val="007B7B74"/>
    <w:rsid w:val="007D5316"/>
    <w:rsid w:val="007D7C76"/>
    <w:rsid w:val="007E0E24"/>
    <w:rsid w:val="0083008C"/>
    <w:rsid w:val="00836156"/>
    <w:rsid w:val="0084398E"/>
    <w:rsid w:val="00844EB4"/>
    <w:rsid w:val="0084512A"/>
    <w:rsid w:val="00857999"/>
    <w:rsid w:val="00857BC2"/>
    <w:rsid w:val="0086458F"/>
    <w:rsid w:val="008670B7"/>
    <w:rsid w:val="00870FD8"/>
    <w:rsid w:val="00875528"/>
    <w:rsid w:val="00880220"/>
    <w:rsid w:val="008B106B"/>
    <w:rsid w:val="008B5B27"/>
    <w:rsid w:val="008C50E0"/>
    <w:rsid w:val="008E7AFB"/>
    <w:rsid w:val="00907145"/>
    <w:rsid w:val="009134D4"/>
    <w:rsid w:val="00913833"/>
    <w:rsid w:val="00954641"/>
    <w:rsid w:val="009634C4"/>
    <w:rsid w:val="00966621"/>
    <w:rsid w:val="00987E45"/>
    <w:rsid w:val="009C3C8E"/>
    <w:rsid w:val="009D0E0D"/>
    <w:rsid w:val="009F64A0"/>
    <w:rsid w:val="009F684E"/>
    <w:rsid w:val="00A00CC6"/>
    <w:rsid w:val="00A028A5"/>
    <w:rsid w:val="00A07C34"/>
    <w:rsid w:val="00A13C37"/>
    <w:rsid w:val="00A14357"/>
    <w:rsid w:val="00A2651B"/>
    <w:rsid w:val="00A34C6B"/>
    <w:rsid w:val="00A43B50"/>
    <w:rsid w:val="00A47782"/>
    <w:rsid w:val="00A53A67"/>
    <w:rsid w:val="00A62617"/>
    <w:rsid w:val="00A64D66"/>
    <w:rsid w:val="00A722BB"/>
    <w:rsid w:val="00A72AB6"/>
    <w:rsid w:val="00AC539D"/>
    <w:rsid w:val="00AE0329"/>
    <w:rsid w:val="00B25856"/>
    <w:rsid w:val="00B265CC"/>
    <w:rsid w:val="00B31698"/>
    <w:rsid w:val="00B644FD"/>
    <w:rsid w:val="00B657EC"/>
    <w:rsid w:val="00B74C65"/>
    <w:rsid w:val="00B757C1"/>
    <w:rsid w:val="00B85EDF"/>
    <w:rsid w:val="00B85F86"/>
    <w:rsid w:val="00B932CD"/>
    <w:rsid w:val="00BC0260"/>
    <w:rsid w:val="00BC4A7F"/>
    <w:rsid w:val="00BD59D2"/>
    <w:rsid w:val="00BE7645"/>
    <w:rsid w:val="00BF1849"/>
    <w:rsid w:val="00BF5632"/>
    <w:rsid w:val="00C00B2F"/>
    <w:rsid w:val="00C0193D"/>
    <w:rsid w:val="00C11464"/>
    <w:rsid w:val="00C17E2D"/>
    <w:rsid w:val="00C23CA7"/>
    <w:rsid w:val="00C27F77"/>
    <w:rsid w:val="00C446BD"/>
    <w:rsid w:val="00C508AE"/>
    <w:rsid w:val="00C63A6D"/>
    <w:rsid w:val="00C701FF"/>
    <w:rsid w:val="00C73D77"/>
    <w:rsid w:val="00C774E3"/>
    <w:rsid w:val="00C872D7"/>
    <w:rsid w:val="00CB342D"/>
    <w:rsid w:val="00CE4518"/>
    <w:rsid w:val="00CF3550"/>
    <w:rsid w:val="00CF3730"/>
    <w:rsid w:val="00D33EC2"/>
    <w:rsid w:val="00D349CE"/>
    <w:rsid w:val="00D47F3C"/>
    <w:rsid w:val="00D61BEA"/>
    <w:rsid w:val="00D67A01"/>
    <w:rsid w:val="00D82369"/>
    <w:rsid w:val="00D84410"/>
    <w:rsid w:val="00DF552E"/>
    <w:rsid w:val="00E14C43"/>
    <w:rsid w:val="00E14D42"/>
    <w:rsid w:val="00E37D19"/>
    <w:rsid w:val="00E500F4"/>
    <w:rsid w:val="00E63DB3"/>
    <w:rsid w:val="00EA4DF8"/>
    <w:rsid w:val="00EA5E5C"/>
    <w:rsid w:val="00EB06FD"/>
    <w:rsid w:val="00EB1F52"/>
    <w:rsid w:val="00EB662B"/>
    <w:rsid w:val="00EC5A62"/>
    <w:rsid w:val="00ED3BFE"/>
    <w:rsid w:val="00EF2D78"/>
    <w:rsid w:val="00F06EAC"/>
    <w:rsid w:val="00F151E7"/>
    <w:rsid w:val="00F46AC1"/>
    <w:rsid w:val="00F94C2E"/>
    <w:rsid w:val="00FB081B"/>
    <w:rsid w:val="00FB5932"/>
    <w:rsid w:val="00FC7E80"/>
    <w:rsid w:val="00FE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6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56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C5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6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Instalaciones</dc:creator>
  <cp:lastModifiedBy>Instalaciones</cp:lastModifiedBy>
  <cp:revision>1</cp:revision>
  <dcterms:created xsi:type="dcterms:W3CDTF">2017-03-15T18:38:00Z</dcterms:created>
  <dcterms:modified xsi:type="dcterms:W3CDTF">2017-03-15T18:39:00Z</dcterms:modified>
</cp:coreProperties>
</file>