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049" w:rsidRPr="003E4AC7" w:rsidRDefault="00EA1049" w:rsidP="00EA1049">
      <w:pPr>
        <w:spacing w:line="360" w:lineRule="auto"/>
        <w:jc w:val="center"/>
        <w:rPr>
          <w:rFonts w:ascii="Calibri" w:hAnsi="Calibri" w:cs="Calibri"/>
          <w:b/>
          <w:sz w:val="28"/>
          <w:szCs w:val="28"/>
        </w:rPr>
      </w:pPr>
      <w:r>
        <w:rPr>
          <w:rFonts w:ascii="Calibri" w:hAnsi="Calibri" w:cs="Calibri"/>
          <w:b/>
          <w:sz w:val="28"/>
          <w:szCs w:val="28"/>
          <w:lang w:val="es-ES"/>
        </w:rPr>
        <w:t>T</w:t>
      </w:r>
      <w:r>
        <w:rPr>
          <w:rFonts w:ascii="Calibri" w:hAnsi="Calibri" w:cs="Calibri"/>
          <w:b/>
          <w:sz w:val="28"/>
          <w:szCs w:val="28"/>
        </w:rPr>
        <w:t>uberkulosiaren</w:t>
      </w:r>
      <w:r w:rsidRPr="003E4AC7">
        <w:rPr>
          <w:rFonts w:ascii="Calibri" w:hAnsi="Calibri" w:cs="Calibri"/>
          <w:b/>
          <w:sz w:val="28"/>
          <w:szCs w:val="28"/>
        </w:rPr>
        <w:t xml:space="preserve"> intzidentzia eta desparekotasun soziala Gipuzkoan, 2010-2017 denboraldian</w:t>
      </w:r>
    </w:p>
    <w:p w:rsidR="00EA1049" w:rsidRPr="000F0D19" w:rsidRDefault="00EA1049" w:rsidP="00EA1049">
      <w:pPr>
        <w:jc w:val="both"/>
        <w:rPr>
          <w:rFonts w:ascii="Calibri" w:hAnsi="Calibri" w:cs="Calibri"/>
          <w:b/>
          <w:sz w:val="20"/>
          <w:szCs w:val="24"/>
        </w:rPr>
      </w:pPr>
      <w:r w:rsidRPr="003A4A4E">
        <w:rPr>
          <w:rFonts w:ascii="Calibri" w:hAnsi="Calibri" w:cs="Calibri"/>
          <w:b/>
          <w:sz w:val="20"/>
          <w:szCs w:val="24"/>
        </w:rPr>
        <w:t>Amaia Soraluce Olañeta</w:t>
      </w:r>
      <w:r w:rsidRPr="003A4A4E">
        <w:rPr>
          <w:rFonts w:ascii="Calibri" w:hAnsi="Calibri" w:cs="Calibri"/>
          <w:b/>
          <w:sz w:val="20"/>
          <w:szCs w:val="24"/>
          <w:vertAlign w:val="superscript"/>
        </w:rPr>
        <w:t>1</w:t>
      </w:r>
      <w:r w:rsidRPr="003A4A4E">
        <w:rPr>
          <w:rFonts w:ascii="Calibri" w:hAnsi="Calibri" w:cs="Calibri"/>
          <w:b/>
          <w:sz w:val="20"/>
          <w:szCs w:val="24"/>
        </w:rPr>
        <w:t xml:space="preserve">, </w:t>
      </w:r>
      <w:r>
        <w:rPr>
          <w:rFonts w:ascii="Calibri" w:hAnsi="Calibri" w:cs="Calibri"/>
          <w:b/>
          <w:sz w:val="20"/>
          <w:szCs w:val="24"/>
        </w:rPr>
        <w:t>Liher Imaz Goienetxea</w:t>
      </w:r>
      <w:r w:rsidRPr="000F0D19">
        <w:rPr>
          <w:rFonts w:ascii="Calibri" w:hAnsi="Calibri" w:cs="Calibri"/>
          <w:b/>
          <w:sz w:val="20"/>
          <w:szCs w:val="24"/>
          <w:vertAlign w:val="superscript"/>
        </w:rPr>
        <w:t>1</w:t>
      </w:r>
      <w:r>
        <w:rPr>
          <w:rFonts w:ascii="Calibri" w:hAnsi="Calibri" w:cs="Calibri"/>
          <w:b/>
          <w:sz w:val="20"/>
          <w:szCs w:val="24"/>
          <w:vertAlign w:val="superscript"/>
        </w:rPr>
        <w:t>,2</w:t>
      </w:r>
      <w:r>
        <w:rPr>
          <w:rFonts w:ascii="Calibri" w:hAnsi="Calibri" w:cs="Calibri"/>
          <w:b/>
          <w:sz w:val="20"/>
          <w:szCs w:val="24"/>
        </w:rPr>
        <w:t xml:space="preserve">, </w:t>
      </w:r>
      <w:r w:rsidRPr="000F0D19">
        <w:rPr>
          <w:rFonts w:ascii="Calibri" w:hAnsi="Calibri" w:cs="Calibri"/>
          <w:b/>
          <w:sz w:val="20"/>
          <w:szCs w:val="24"/>
        </w:rPr>
        <w:t>Asier Anabitarte Riol</w:t>
      </w:r>
      <w:r w:rsidRPr="000F0D19">
        <w:rPr>
          <w:rFonts w:ascii="Calibri" w:hAnsi="Calibri" w:cs="Calibri"/>
          <w:b/>
          <w:sz w:val="20"/>
          <w:szCs w:val="24"/>
          <w:vertAlign w:val="superscript"/>
        </w:rPr>
        <w:t>2</w:t>
      </w:r>
      <w:r>
        <w:rPr>
          <w:rFonts w:ascii="Calibri" w:hAnsi="Calibri" w:cs="Calibri"/>
          <w:b/>
          <w:sz w:val="20"/>
          <w:szCs w:val="24"/>
          <w:vertAlign w:val="superscript"/>
        </w:rPr>
        <w:t>,3</w:t>
      </w:r>
      <w:r w:rsidRPr="000F0D19">
        <w:rPr>
          <w:rFonts w:ascii="Calibri" w:hAnsi="Calibri" w:cs="Calibri"/>
          <w:b/>
          <w:sz w:val="20"/>
          <w:szCs w:val="24"/>
        </w:rPr>
        <w:t>, Lorea Álvarez Guerrico</w:t>
      </w:r>
      <w:r w:rsidRPr="000F0D19">
        <w:rPr>
          <w:rFonts w:ascii="Calibri" w:hAnsi="Calibri" w:cs="Calibri"/>
          <w:b/>
          <w:sz w:val="20"/>
          <w:szCs w:val="24"/>
          <w:vertAlign w:val="superscript"/>
        </w:rPr>
        <w:t>1</w:t>
      </w:r>
      <w:r w:rsidRPr="000F0D19">
        <w:rPr>
          <w:rFonts w:ascii="Calibri" w:hAnsi="Calibri" w:cs="Calibri"/>
          <w:b/>
          <w:sz w:val="20"/>
          <w:szCs w:val="24"/>
        </w:rPr>
        <w:t>, Rosa Sancho Martínez</w:t>
      </w:r>
      <w:r w:rsidRPr="000F0D19">
        <w:rPr>
          <w:rFonts w:ascii="Calibri" w:hAnsi="Calibri" w:cs="Calibri"/>
          <w:b/>
          <w:sz w:val="20"/>
          <w:szCs w:val="24"/>
          <w:vertAlign w:val="superscript"/>
        </w:rPr>
        <w:t>1</w:t>
      </w:r>
      <w:r>
        <w:rPr>
          <w:rFonts w:ascii="Calibri" w:hAnsi="Calibri" w:cs="Calibri"/>
          <w:b/>
          <w:sz w:val="20"/>
          <w:szCs w:val="24"/>
          <w:vertAlign w:val="superscript"/>
        </w:rPr>
        <w:t>,2</w:t>
      </w:r>
      <w:r w:rsidRPr="000F0D19">
        <w:rPr>
          <w:rFonts w:ascii="Calibri" w:hAnsi="Calibri" w:cs="Calibri"/>
          <w:b/>
          <w:sz w:val="20"/>
          <w:szCs w:val="24"/>
        </w:rPr>
        <w:t>, Edurne</w:t>
      </w:r>
      <w:r w:rsidRPr="009A770F">
        <w:t xml:space="preserve"> </w:t>
      </w:r>
      <w:r w:rsidRPr="009A770F">
        <w:rPr>
          <w:rFonts w:ascii="Calibri" w:hAnsi="Calibri" w:cs="Calibri"/>
          <w:b/>
          <w:sz w:val="20"/>
          <w:szCs w:val="24"/>
        </w:rPr>
        <w:t>Bikuña Ugarte</w:t>
      </w:r>
      <w:r>
        <w:rPr>
          <w:rFonts w:ascii="Calibri" w:hAnsi="Calibri" w:cs="Calibri"/>
          <w:b/>
          <w:sz w:val="20"/>
          <w:szCs w:val="24"/>
          <w:vertAlign w:val="superscript"/>
        </w:rPr>
        <w:t>4</w:t>
      </w:r>
      <w:r w:rsidRPr="000F0D19">
        <w:rPr>
          <w:rFonts w:ascii="Calibri" w:hAnsi="Calibri" w:cs="Calibri"/>
          <w:b/>
          <w:sz w:val="20"/>
          <w:szCs w:val="24"/>
        </w:rPr>
        <w:t>, Mikel Basterrechea Irurzun</w:t>
      </w:r>
      <w:r w:rsidRPr="000F0D19">
        <w:rPr>
          <w:rFonts w:ascii="Calibri" w:hAnsi="Calibri" w:cs="Calibri"/>
          <w:b/>
          <w:sz w:val="20"/>
          <w:szCs w:val="24"/>
          <w:vertAlign w:val="superscript"/>
        </w:rPr>
        <w:t>1</w:t>
      </w:r>
      <w:r>
        <w:rPr>
          <w:rFonts w:ascii="Calibri" w:hAnsi="Calibri" w:cs="Calibri"/>
          <w:b/>
          <w:sz w:val="20"/>
          <w:szCs w:val="24"/>
          <w:vertAlign w:val="superscript"/>
        </w:rPr>
        <w:t>,2</w:t>
      </w:r>
    </w:p>
    <w:p w:rsidR="00EA1049" w:rsidRDefault="00EA1049" w:rsidP="00CC2E2C">
      <w:pPr>
        <w:contextualSpacing/>
        <w:jc w:val="center"/>
        <w:rPr>
          <w:rFonts w:ascii="Calibri" w:hAnsi="Calibri" w:cs="Calibri"/>
          <w:b/>
          <w:szCs w:val="24"/>
        </w:rPr>
      </w:pPr>
    </w:p>
    <w:p w:rsidR="00EA1049" w:rsidRPr="003A4A4E" w:rsidRDefault="00EA1049" w:rsidP="00CC2E2C">
      <w:pPr>
        <w:contextualSpacing/>
        <w:jc w:val="both"/>
        <w:rPr>
          <w:rFonts w:ascii="Calibri" w:hAnsi="Calibri" w:cs="Calibri"/>
          <w:i/>
          <w:sz w:val="18"/>
          <w:szCs w:val="18"/>
        </w:rPr>
      </w:pPr>
      <w:r w:rsidRPr="003A4A4E">
        <w:rPr>
          <w:rFonts w:ascii="Calibri" w:hAnsi="Calibri" w:cs="Calibri"/>
          <w:i/>
          <w:sz w:val="18"/>
          <w:szCs w:val="18"/>
          <w:vertAlign w:val="superscript"/>
        </w:rPr>
        <w:t>1</w:t>
      </w:r>
      <w:r w:rsidRPr="003A4A4E">
        <w:rPr>
          <w:rFonts w:ascii="Calibri" w:hAnsi="Calibri" w:cs="Calibri"/>
          <w:i/>
          <w:sz w:val="18"/>
          <w:szCs w:val="18"/>
        </w:rPr>
        <w:t>Eusko Jaurlaritzaren Osasun Saila, Gipuzkoako Osasun Publikoaren Zuzendariordetza, Donostia-San Sebastian.</w:t>
      </w:r>
    </w:p>
    <w:p w:rsidR="00EA1049" w:rsidRPr="003A4A4E" w:rsidRDefault="00EA1049" w:rsidP="00CC2E2C">
      <w:pPr>
        <w:contextualSpacing/>
        <w:jc w:val="both"/>
        <w:rPr>
          <w:rFonts w:ascii="Calibri" w:hAnsi="Calibri" w:cs="Calibri"/>
          <w:i/>
          <w:sz w:val="18"/>
          <w:szCs w:val="18"/>
        </w:rPr>
      </w:pPr>
      <w:r w:rsidRPr="003A4A4E">
        <w:rPr>
          <w:rFonts w:ascii="Calibri" w:hAnsi="Calibri" w:cs="Calibri"/>
          <w:i/>
          <w:sz w:val="18"/>
          <w:szCs w:val="18"/>
          <w:vertAlign w:val="superscript"/>
        </w:rPr>
        <w:t>2</w:t>
      </w:r>
      <w:r w:rsidRPr="003A4A4E">
        <w:rPr>
          <w:rFonts w:ascii="Calibri" w:hAnsi="Calibri" w:cs="Calibri"/>
          <w:i/>
          <w:sz w:val="18"/>
          <w:szCs w:val="18"/>
        </w:rPr>
        <w:t xml:space="preserve">Biodonostia Osasun Ikerketa Institutua, Donostia- San Sebastian. </w:t>
      </w:r>
    </w:p>
    <w:p w:rsidR="00EA1049" w:rsidRPr="003A4A4E" w:rsidRDefault="00EA1049" w:rsidP="00CC2E2C">
      <w:pPr>
        <w:contextualSpacing/>
        <w:jc w:val="both"/>
        <w:rPr>
          <w:rFonts w:ascii="Calibri" w:hAnsi="Calibri" w:cs="Calibri"/>
          <w:i/>
          <w:sz w:val="18"/>
          <w:szCs w:val="18"/>
        </w:rPr>
      </w:pPr>
      <w:r w:rsidRPr="003A4A4E">
        <w:rPr>
          <w:rFonts w:ascii="Calibri" w:hAnsi="Calibri" w:cs="Calibri"/>
          <w:i/>
          <w:sz w:val="18"/>
          <w:szCs w:val="18"/>
          <w:vertAlign w:val="superscript"/>
        </w:rPr>
        <w:t>3</w:t>
      </w:r>
      <w:r w:rsidRPr="003A4A4E">
        <w:rPr>
          <w:rFonts w:ascii="Calibri" w:hAnsi="Calibri" w:cs="Calibri"/>
          <w:i/>
          <w:sz w:val="18"/>
          <w:szCs w:val="18"/>
        </w:rPr>
        <w:t>Euskal Herriko Unibertsitatea (UPV/EHU</w:t>
      </w:r>
      <w:r>
        <w:rPr>
          <w:rFonts w:ascii="Calibri" w:hAnsi="Calibri" w:cs="Calibri"/>
          <w:i/>
          <w:sz w:val="18"/>
          <w:szCs w:val="18"/>
        </w:rPr>
        <w:t xml:space="preserve">), Medikuntza fakultatea, </w:t>
      </w:r>
      <w:r w:rsidRPr="003A4A4E">
        <w:rPr>
          <w:rFonts w:ascii="Calibri" w:hAnsi="Calibri" w:cs="Calibri"/>
          <w:i/>
          <w:sz w:val="18"/>
          <w:szCs w:val="18"/>
        </w:rPr>
        <w:t>Leioa</w:t>
      </w:r>
    </w:p>
    <w:p w:rsidR="00EA1049" w:rsidRPr="000F0D19" w:rsidRDefault="00EA1049" w:rsidP="00CC2E2C">
      <w:pPr>
        <w:contextualSpacing/>
        <w:jc w:val="both"/>
        <w:rPr>
          <w:rFonts w:ascii="Calibri" w:hAnsi="Calibri" w:cs="Calibri"/>
          <w:b/>
          <w:sz w:val="18"/>
          <w:szCs w:val="18"/>
        </w:rPr>
      </w:pPr>
      <w:r w:rsidRPr="0074674A">
        <w:rPr>
          <w:rFonts w:ascii="Calibri" w:hAnsi="Calibri" w:cs="Calibri"/>
          <w:i/>
          <w:sz w:val="18"/>
          <w:szCs w:val="18"/>
          <w:vertAlign w:val="superscript"/>
        </w:rPr>
        <w:t>4</w:t>
      </w:r>
      <w:r>
        <w:rPr>
          <w:rFonts w:ascii="Calibri" w:hAnsi="Calibri" w:cs="Calibri"/>
          <w:i/>
          <w:sz w:val="18"/>
          <w:szCs w:val="18"/>
        </w:rPr>
        <w:t>Osakidetza, Zumarragako Ospitalea, Tuberkulosiaren</w:t>
      </w:r>
      <w:r w:rsidRPr="0074674A">
        <w:rPr>
          <w:rFonts w:ascii="Calibri" w:hAnsi="Calibri" w:cs="Calibri"/>
          <w:i/>
          <w:sz w:val="18"/>
          <w:szCs w:val="18"/>
        </w:rPr>
        <w:t xml:space="preserve"> kudeatzailea</w:t>
      </w:r>
      <w:r>
        <w:rPr>
          <w:rFonts w:ascii="Calibri" w:hAnsi="Calibri" w:cs="Calibri"/>
          <w:i/>
          <w:sz w:val="18"/>
          <w:szCs w:val="18"/>
        </w:rPr>
        <w:t xml:space="preserve">, Zumarraga. </w:t>
      </w:r>
    </w:p>
    <w:p w:rsidR="00EA1049" w:rsidRPr="007A4B64" w:rsidRDefault="00EA1049" w:rsidP="00CC2E2C">
      <w:pPr>
        <w:contextualSpacing/>
        <w:jc w:val="center"/>
        <w:rPr>
          <w:rFonts w:ascii="Calibri" w:hAnsi="Calibri" w:cs="Calibri"/>
          <w:b/>
          <w:szCs w:val="24"/>
        </w:rPr>
      </w:pPr>
    </w:p>
    <w:p w:rsidR="00CC2E2C" w:rsidRDefault="00CC2E2C" w:rsidP="00CC2E2C">
      <w:pPr>
        <w:contextualSpacing/>
        <w:rPr>
          <w:rFonts w:ascii="Calibri" w:hAnsi="Calibri" w:cs="Calibri"/>
          <w:b/>
        </w:rPr>
      </w:pPr>
    </w:p>
    <w:p w:rsidR="00EA1049" w:rsidRDefault="00EA1049" w:rsidP="00CC2E2C">
      <w:pPr>
        <w:contextualSpacing/>
        <w:rPr>
          <w:rFonts w:ascii="Calibri" w:hAnsi="Calibri" w:cs="Calibri"/>
          <w:b/>
        </w:rPr>
      </w:pPr>
      <w:r>
        <w:rPr>
          <w:rFonts w:ascii="Calibri" w:hAnsi="Calibri" w:cs="Calibri"/>
          <w:b/>
        </w:rPr>
        <w:t>Laburpena</w:t>
      </w:r>
    </w:p>
    <w:p w:rsidR="00EA1049" w:rsidRPr="00066C85" w:rsidRDefault="00EA1049" w:rsidP="00CC2E2C">
      <w:pPr>
        <w:contextualSpacing/>
        <w:rPr>
          <w:rFonts w:ascii="Calibri" w:hAnsi="Calibri" w:cs="Calibri"/>
        </w:rPr>
      </w:pPr>
    </w:p>
    <w:p w:rsidR="00EA1049" w:rsidRDefault="00EA1049" w:rsidP="00CC2E2C">
      <w:pPr>
        <w:contextualSpacing/>
        <w:jc w:val="both"/>
        <w:rPr>
          <w:rFonts w:ascii="Calibri" w:hAnsi="Calibri" w:cs="Calibri"/>
        </w:rPr>
      </w:pPr>
      <w:r w:rsidRPr="00066C85">
        <w:rPr>
          <w:rFonts w:ascii="Calibri" w:hAnsi="Calibri" w:cs="Calibri"/>
        </w:rPr>
        <w:t>G</w:t>
      </w:r>
      <w:r>
        <w:rPr>
          <w:rFonts w:ascii="Calibri" w:hAnsi="Calibri" w:cs="Calibri"/>
        </w:rPr>
        <w:t>auza jakina da g</w:t>
      </w:r>
      <w:r w:rsidRPr="00066C85">
        <w:rPr>
          <w:rFonts w:ascii="Calibri" w:hAnsi="Calibri" w:cs="Calibri"/>
        </w:rPr>
        <w:t>izarte-faktore desberdinek zenbait gaixotasunen intzidentzia eta eboluzioa baldintzatzen dutela</w:t>
      </w:r>
      <w:r>
        <w:rPr>
          <w:rFonts w:ascii="Calibri" w:hAnsi="Calibri" w:cs="Calibri"/>
        </w:rPr>
        <w:t>,</w:t>
      </w:r>
      <w:r w:rsidRPr="00066C85">
        <w:rPr>
          <w:rFonts w:ascii="Calibri" w:hAnsi="Calibri" w:cs="Calibri"/>
        </w:rPr>
        <w:t xml:space="preserve"> mundu mailan zein EAEn. Lan honen helburu nagusia Gipuzkoan 2010-2017 denboraldian maila sozioekonomikoa eta betidanik pobreziarekin erlazionatutako gaitz baten arteko lotura aztertzea</w:t>
      </w:r>
      <w:r>
        <w:rPr>
          <w:rFonts w:ascii="Calibri" w:hAnsi="Calibri" w:cs="Calibri"/>
        </w:rPr>
        <w:t xml:space="preserve"> izan</w:t>
      </w:r>
      <w:r w:rsidRPr="00066C85">
        <w:rPr>
          <w:rFonts w:ascii="Calibri" w:hAnsi="Calibri" w:cs="Calibri"/>
        </w:rPr>
        <w:t xml:space="preserve"> da; alegia, gabezia-maila eta tuberkulosiaren arteko harremana ikertzea. Bigarren helburua 2003</w:t>
      </w:r>
      <w:r>
        <w:rPr>
          <w:rFonts w:ascii="Calibri" w:hAnsi="Calibri" w:cs="Calibri"/>
        </w:rPr>
        <w:t>-</w:t>
      </w:r>
      <w:r w:rsidRPr="00066C85">
        <w:rPr>
          <w:rFonts w:ascii="Calibri" w:hAnsi="Calibri" w:cs="Calibri"/>
        </w:rPr>
        <w:t xml:space="preserve">2017 urteetan zehar gaixotasun horren eboluzioa </w:t>
      </w:r>
      <w:r>
        <w:rPr>
          <w:rFonts w:ascii="Calibri" w:hAnsi="Calibri" w:cs="Calibri"/>
        </w:rPr>
        <w:t>deskribatzea izan</w:t>
      </w:r>
      <w:r w:rsidRPr="00066C85">
        <w:rPr>
          <w:rFonts w:ascii="Calibri" w:hAnsi="Calibri" w:cs="Calibri"/>
        </w:rPr>
        <w:t xml:space="preserve"> da. Maila sozioekonomikoa analizatzeko, paziente bakoitzari modu ekologikoan esleitutako gabezia-indizea erabili da, diagnostiko aldian bizi ziren errolda sekzioko informazioaz baliatuta. Intzidentzien kalkulurako, 2011ko erroldatik lortu da biztanle kopurua, sekzio bakoitzeko eta adin zein sexuaren arabera, eta urte bereko EAEko populazioa erabilita estandarizazio</w:t>
      </w:r>
      <w:r>
        <w:rPr>
          <w:rFonts w:ascii="Calibri" w:hAnsi="Calibri" w:cs="Calibri"/>
        </w:rPr>
        <w:t>a</w:t>
      </w:r>
      <w:r w:rsidRPr="00066C85">
        <w:rPr>
          <w:rFonts w:ascii="Calibri" w:hAnsi="Calibri" w:cs="Calibri"/>
        </w:rPr>
        <w:t xml:space="preserve"> egin da. Biriketako lokalizazioa zuten kasuetan, maila sozioekonomikoa diagnostikoaren atzerapena eta tratamendua betetzearekin asoziaturik dagoen ikertu da ere. Horretarako hainbat analisi estatistiko erabili dira, </w:t>
      </w:r>
      <w:r w:rsidRPr="006C580E">
        <w:rPr>
          <w:rFonts w:ascii="Calibri" w:hAnsi="Calibri" w:cs="Calibri"/>
          <w:i/>
        </w:rPr>
        <w:t>SPSS</w:t>
      </w:r>
      <w:r w:rsidRPr="00066C85">
        <w:rPr>
          <w:rFonts w:ascii="Calibri" w:hAnsi="Calibri" w:cs="Calibri"/>
        </w:rPr>
        <w:t xml:space="preserve"> programaz baliatuz. Lortutako emaitzei so eginez, Gipuzkoan tuberkulosiaren intzidentzia ekologikoki esleitutako gabezia-mailarekin asoziaturik dagoela ondoriozta daiteke. Izan ere, maila sozioekonomiko baxuenean kokatzen diren pertsonek altuenean daudenak baino tuberkulosia izateko arrisku handiagoa dutela ikusi da; arriskuaren igoera estatistikoki esangarria izanik gizonetan. Hala ere, azken 15 urteetan maila sozioekonomikoen arteko desberdintasunak murriztu direla ikus daiteke. Osasun arretari dagokionean, ez da maila sozioekonomikoa eta diagnostikoaren atzerapenaren arteko erlaziorik aurkitu; bai ordea tratamendua betetzearekin, gabezia-maila baxuetan tratamendua betetzeko probabilitatea txikiagoa izanik.</w:t>
      </w:r>
    </w:p>
    <w:p w:rsidR="00EA1049" w:rsidRDefault="00EA1049" w:rsidP="00CC2E2C">
      <w:pPr>
        <w:contextualSpacing/>
        <w:jc w:val="both"/>
        <w:rPr>
          <w:rFonts w:ascii="Calibri" w:hAnsi="Calibri" w:cs="Calibri"/>
        </w:rPr>
      </w:pPr>
    </w:p>
    <w:p w:rsidR="00EA1049" w:rsidRDefault="00EA1049" w:rsidP="00CC2E2C">
      <w:pPr>
        <w:contextualSpacing/>
        <w:jc w:val="center"/>
        <w:rPr>
          <w:rFonts w:ascii="Calibri" w:hAnsi="Calibri" w:cs="Calibri"/>
        </w:rPr>
      </w:pPr>
      <w:r>
        <w:rPr>
          <w:rFonts w:ascii="Calibri" w:hAnsi="Calibri" w:cs="Calibri"/>
        </w:rPr>
        <w:t>Gako-hitzak: Tuberkulosia, gabezia-maila, intzidentzia, Gipuzkoa</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p>
    <w:p w:rsidR="00EA1049" w:rsidRPr="00CA3F78" w:rsidRDefault="00EA1049" w:rsidP="00CC2E2C">
      <w:pPr>
        <w:contextualSpacing/>
        <w:jc w:val="both"/>
        <w:rPr>
          <w:rFonts w:ascii="Calibri" w:hAnsi="Calibri" w:cs="Calibri"/>
          <w:b/>
          <w:lang w:val="en-GB"/>
        </w:rPr>
      </w:pPr>
      <w:r w:rsidRPr="00CA3F78">
        <w:rPr>
          <w:rFonts w:ascii="Calibri" w:hAnsi="Calibri" w:cs="Calibri"/>
          <w:b/>
          <w:lang w:val="en-GB"/>
        </w:rPr>
        <w:t>Abstract</w:t>
      </w:r>
    </w:p>
    <w:p w:rsidR="00EA1049" w:rsidRDefault="00EA1049" w:rsidP="00CC2E2C">
      <w:pPr>
        <w:contextualSpacing/>
        <w:jc w:val="both"/>
        <w:rPr>
          <w:rFonts w:ascii="Calibri" w:hAnsi="Calibri" w:cs="Calibri"/>
        </w:rPr>
      </w:pPr>
    </w:p>
    <w:p w:rsidR="00EA1049" w:rsidRPr="00CA3F78" w:rsidRDefault="00EA1049" w:rsidP="00CC2E2C">
      <w:pPr>
        <w:contextualSpacing/>
        <w:jc w:val="both"/>
        <w:rPr>
          <w:rFonts w:ascii="Calibri" w:hAnsi="Calibri" w:cs="Calibri"/>
          <w:lang w:val="en-GB"/>
        </w:rPr>
      </w:pPr>
      <w:r w:rsidRPr="00CA3F78">
        <w:rPr>
          <w:rFonts w:ascii="Calibri" w:hAnsi="Calibri" w:cs="Calibri"/>
          <w:lang w:val="en-GB"/>
        </w:rPr>
        <w:t xml:space="preserve">It has been described that social factors alter the incidence and evolution of several illnesses, not only globally, but also in the Basque Country. The main goal of this research work was to analyse whether socioeconomic situation is associated with tuberculosis, which has been historically linked to poverty. To this end, data from Gipuzkoa was used, taking into </w:t>
      </w:r>
      <w:r w:rsidRPr="00CA3F78">
        <w:rPr>
          <w:rFonts w:ascii="Calibri" w:hAnsi="Calibri" w:cs="Calibri"/>
          <w:lang w:val="en-GB"/>
        </w:rPr>
        <w:lastRenderedPageBreak/>
        <w:t>consideration 2010-2017 period of time. A secondary objective was to describe the evolution of tuberculosis in Gipuzkoa, from year 2003 to 2017. In order to analyse socioeconomic status, each case</w:t>
      </w:r>
      <w:r>
        <w:rPr>
          <w:rFonts w:ascii="Calibri" w:hAnsi="Calibri" w:cs="Calibri"/>
          <w:lang w:val="en-GB"/>
        </w:rPr>
        <w:t xml:space="preserve"> was assigned to a level of deprivation</w:t>
      </w:r>
      <w:r w:rsidRPr="00CA3F78">
        <w:rPr>
          <w:rFonts w:ascii="Calibri" w:hAnsi="Calibri" w:cs="Calibri"/>
          <w:lang w:val="en-GB"/>
        </w:rPr>
        <w:t xml:space="preserve"> using an ecological method, considering their census information when the diagnostic was made. Incidence was calculated using census data from 2011, discerning between section, age and sex. Basque Country’s population data from the same year was used to obtain standardised rates. In those cases with pulmonary tuberculosis, diagnostic delay and adherence to treatment were studied for different </w:t>
      </w:r>
      <w:r>
        <w:rPr>
          <w:rFonts w:ascii="Calibri" w:hAnsi="Calibri" w:cs="Calibri"/>
          <w:lang w:val="en-GB"/>
        </w:rPr>
        <w:t>levels of deprivation</w:t>
      </w:r>
      <w:r w:rsidRPr="00CA3F78">
        <w:rPr>
          <w:rFonts w:ascii="Calibri" w:hAnsi="Calibri" w:cs="Calibri"/>
          <w:lang w:val="en-GB"/>
        </w:rPr>
        <w:t>. Statistical analyses were performed by SP</w:t>
      </w:r>
      <w:r>
        <w:rPr>
          <w:rFonts w:ascii="Calibri" w:hAnsi="Calibri" w:cs="Calibri"/>
          <w:lang w:val="en-GB"/>
        </w:rPr>
        <w:t>S</w:t>
      </w:r>
      <w:r w:rsidRPr="00CA3F78">
        <w:rPr>
          <w:rFonts w:ascii="Calibri" w:hAnsi="Calibri" w:cs="Calibri"/>
          <w:lang w:val="en-GB"/>
        </w:rPr>
        <w:t xml:space="preserve">S program. An association between tuberculosis incidence and ecologically assigned socioeconomic situation has been observed, since a greater risk of suffering from tuberculosis has been detected in people with the higher </w:t>
      </w:r>
      <w:r>
        <w:rPr>
          <w:rFonts w:ascii="Calibri" w:hAnsi="Calibri" w:cs="Calibri"/>
          <w:lang w:val="en-GB"/>
        </w:rPr>
        <w:t xml:space="preserve">level of </w:t>
      </w:r>
      <w:r w:rsidRPr="00CA3F78">
        <w:rPr>
          <w:rFonts w:ascii="Calibri" w:hAnsi="Calibri" w:cs="Calibri"/>
          <w:lang w:val="en-GB"/>
        </w:rPr>
        <w:t xml:space="preserve">deprivation </w:t>
      </w:r>
      <w:r>
        <w:rPr>
          <w:rFonts w:ascii="Calibri" w:hAnsi="Calibri" w:cs="Calibri"/>
          <w:lang w:val="en-GB"/>
        </w:rPr>
        <w:t>w</w:t>
      </w:r>
      <w:r w:rsidRPr="00CA3F78">
        <w:rPr>
          <w:rFonts w:ascii="Calibri" w:hAnsi="Calibri" w:cs="Calibri"/>
          <w:lang w:val="en-GB"/>
        </w:rPr>
        <w:t>hen comparing with that of the lower one (being differences statistically significant in men). Nevertheless, differences among socioeconomic status have been reduced in the last 15 years. Regarding health care, no association between diagnostic delay and socioeconomic situation has been described. However, adherence to treatment is more difficult to fulfil in more deprived populations.</w:t>
      </w:r>
    </w:p>
    <w:p w:rsidR="00EA1049" w:rsidRDefault="00EA1049" w:rsidP="00CC2E2C">
      <w:pPr>
        <w:contextualSpacing/>
        <w:rPr>
          <w:rFonts w:ascii="Calibri" w:hAnsi="Calibri" w:cs="Calibri"/>
        </w:rPr>
      </w:pPr>
    </w:p>
    <w:p w:rsidR="00EA1049" w:rsidRPr="003A4A4E" w:rsidRDefault="00EA1049" w:rsidP="00CC2E2C">
      <w:pPr>
        <w:contextualSpacing/>
        <w:jc w:val="center"/>
        <w:rPr>
          <w:rFonts w:ascii="Calibri" w:hAnsi="Calibri" w:cs="Calibri"/>
        </w:rPr>
      </w:pPr>
      <w:r w:rsidRPr="003A4A4E">
        <w:rPr>
          <w:rFonts w:ascii="Calibri" w:hAnsi="Calibri" w:cs="Calibri"/>
        </w:rPr>
        <w:t>Keywords: Tuberculosis, deprivation, incidence, Gipuzkoa</w:t>
      </w:r>
    </w:p>
    <w:p w:rsidR="00EA1049" w:rsidRPr="003A4A4E" w:rsidRDefault="00EA1049" w:rsidP="00CC2E2C">
      <w:pPr>
        <w:contextualSpacing/>
        <w:rPr>
          <w:rFonts w:ascii="Calibri" w:hAnsi="Calibri" w:cs="Calibri"/>
        </w:rPr>
      </w:pPr>
    </w:p>
    <w:p w:rsidR="00EA1049" w:rsidRPr="003A4A4E" w:rsidRDefault="00EA1049" w:rsidP="00CC2E2C">
      <w:pPr>
        <w:contextualSpacing/>
        <w:rPr>
          <w:rFonts w:ascii="Calibri" w:hAnsi="Calibri" w:cs="Calibri"/>
        </w:rPr>
      </w:pPr>
    </w:p>
    <w:p w:rsidR="00EA1049" w:rsidRPr="003E4AC7" w:rsidRDefault="00EA1049" w:rsidP="00CC2E2C">
      <w:pPr>
        <w:contextualSpacing/>
        <w:rPr>
          <w:rFonts w:ascii="Calibri" w:hAnsi="Calibri" w:cs="Calibri"/>
          <w:b/>
        </w:rPr>
      </w:pPr>
      <w:r w:rsidRPr="003E4AC7">
        <w:rPr>
          <w:rFonts w:ascii="Calibri" w:hAnsi="Calibri" w:cs="Calibri"/>
          <w:b/>
        </w:rPr>
        <w:t>Sarrera</w:t>
      </w:r>
    </w:p>
    <w:p w:rsidR="00EA1049" w:rsidRPr="003E4AC7" w:rsidRDefault="00EA1049" w:rsidP="00CC2E2C">
      <w:pPr>
        <w:contextualSpacing/>
        <w:jc w:val="both"/>
        <w:rPr>
          <w:rFonts w:ascii="Calibri" w:hAnsi="Calibri" w:cs="Calibri"/>
          <w:b/>
        </w:rPr>
      </w:pPr>
    </w:p>
    <w:p w:rsidR="00EA1049" w:rsidRPr="003E4AC7" w:rsidRDefault="00EA1049" w:rsidP="00CC2E2C">
      <w:pPr>
        <w:contextualSpacing/>
        <w:jc w:val="both"/>
        <w:rPr>
          <w:rFonts w:ascii="Calibri" w:hAnsi="Calibri" w:cs="Calibri"/>
        </w:rPr>
      </w:pPr>
      <w:r w:rsidRPr="003E4AC7">
        <w:rPr>
          <w:rFonts w:ascii="Calibri" w:hAnsi="Calibri" w:cs="Calibri"/>
        </w:rPr>
        <w:t>Osasunarekin erlazionaturiko hainbat arazo, zein garaiz aurreko hilkortasuna, gizarte-faktore desberdinek baldintzatzen dituzte; hala nola, ikasketa-maila</w:t>
      </w:r>
      <w:r>
        <w:rPr>
          <w:rFonts w:ascii="Calibri" w:hAnsi="Calibri" w:cs="Calibri"/>
        </w:rPr>
        <w:t>k</w:t>
      </w:r>
      <w:r w:rsidRPr="003E4AC7">
        <w:rPr>
          <w:rFonts w:ascii="Calibri" w:hAnsi="Calibri" w:cs="Calibri"/>
        </w:rPr>
        <w:t>, lana eta lan-baldintz</w:t>
      </w:r>
      <w:r>
        <w:rPr>
          <w:rFonts w:ascii="Calibri" w:hAnsi="Calibri" w:cs="Calibri"/>
        </w:rPr>
        <w:t>e</w:t>
      </w:r>
      <w:r w:rsidRPr="003E4AC7">
        <w:rPr>
          <w:rFonts w:ascii="Calibri" w:hAnsi="Calibri" w:cs="Calibri"/>
        </w:rPr>
        <w:t>k, diru-sarrer</w:t>
      </w:r>
      <w:r>
        <w:rPr>
          <w:rFonts w:ascii="Calibri" w:hAnsi="Calibri" w:cs="Calibri"/>
        </w:rPr>
        <w:t>e</w:t>
      </w:r>
      <w:r w:rsidRPr="003E4AC7">
        <w:rPr>
          <w:rFonts w:ascii="Calibri" w:hAnsi="Calibri" w:cs="Calibri"/>
        </w:rPr>
        <w:t>k, bizi baldintz</w:t>
      </w:r>
      <w:r>
        <w:rPr>
          <w:rFonts w:ascii="Calibri" w:hAnsi="Calibri" w:cs="Calibri"/>
        </w:rPr>
        <w:t>e</w:t>
      </w:r>
      <w:r w:rsidRPr="003E4AC7">
        <w:rPr>
          <w:rFonts w:ascii="Calibri" w:hAnsi="Calibri" w:cs="Calibri"/>
        </w:rPr>
        <w:t>k edota gizarte-bazterketa</w:t>
      </w:r>
      <w:r>
        <w:rPr>
          <w:rFonts w:ascii="Calibri" w:hAnsi="Calibri" w:cs="Calibri"/>
        </w:rPr>
        <w:t>k</w:t>
      </w:r>
      <w:r w:rsidRPr="003E4AC7">
        <w:rPr>
          <w:rFonts w:ascii="Calibri" w:hAnsi="Calibri" w:cs="Calibri"/>
        </w:rPr>
        <w:t xml:space="preserve"> (</w:t>
      </w:r>
      <w:r>
        <w:rPr>
          <w:rFonts w:ascii="Calibri" w:hAnsi="Calibri" w:cs="Calibri"/>
        </w:rPr>
        <w:t>1,2</w:t>
      </w:r>
      <w:r w:rsidRPr="003E4AC7">
        <w:rPr>
          <w:rFonts w:ascii="Calibri" w:hAnsi="Calibri" w:cs="Calibri"/>
        </w:rPr>
        <w:t xml:space="preserve">). Faktore horiek guztiek osasun-sistemaren berariazko eskuduntzak gainditzen dituztela aintzat hartuta, eta osasunari eragiten dioten alderdi ugariak jorratzeak dakarren erronkari erantzuteko, 2013-2020 Euskadiko Osasun Planaren </w:t>
      </w:r>
      <w:r>
        <w:rPr>
          <w:rFonts w:ascii="Calibri" w:hAnsi="Calibri" w:cs="Calibri"/>
        </w:rPr>
        <w:t>(</w:t>
      </w:r>
      <w:r>
        <w:rPr>
          <w:rFonts w:ascii="Calibri" w:hAnsi="Calibri" w:cs="Calibri"/>
        </w:rPr>
        <w:t>3</w:t>
      </w:r>
      <w:r>
        <w:rPr>
          <w:rFonts w:ascii="Calibri" w:hAnsi="Calibri" w:cs="Calibri"/>
        </w:rPr>
        <w:t xml:space="preserve">) </w:t>
      </w:r>
      <w:r w:rsidRPr="003E4AC7">
        <w:rPr>
          <w:rFonts w:ascii="Calibri" w:hAnsi="Calibri" w:cs="Calibri"/>
        </w:rPr>
        <w:t>bost printzipio nagusien artean ekitatea sartu zen. Horren helburu nagusia sozialki, ekonomikoki, demografikoki edo geografikoki zehaztutako biztanle-taldeen artean gaixotasuneko eta osasuneko alde sistematiko eta saihesgarririk ez egotea bermatzea litzake. Izan ere, ezaguna da mundu mailan ez ezik, Euskal Autonomia Erkidegoan (EAEn) ere, egoera sozioekonomiko desberdina duten pertsonen artean desberdintasun sistematikoak antzematen direla gaixotasun kroniko eta kutsakorren intzidentzia zein hilkortasunean (</w:t>
      </w:r>
      <w:r>
        <w:rPr>
          <w:rFonts w:ascii="Calibri" w:hAnsi="Calibri" w:cs="Calibri"/>
        </w:rPr>
        <w:t>4-8</w:t>
      </w:r>
      <w:r w:rsidRPr="003E4AC7">
        <w:rPr>
          <w:rFonts w:ascii="Calibri" w:hAnsi="Calibri" w:cs="Calibri"/>
        </w:rPr>
        <w:t xml:space="preserve">). </w:t>
      </w:r>
    </w:p>
    <w:p w:rsidR="00EA1049" w:rsidRPr="003E4AC7"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sidRPr="003E4AC7">
        <w:rPr>
          <w:rFonts w:ascii="Calibri" w:hAnsi="Calibri" w:cs="Calibri"/>
        </w:rPr>
        <w:t>Pobreziarekin erlazionaturiko gaixotasun infekziosoen artean tuberkulosia da ezagunenetariko bat</w:t>
      </w:r>
      <w:r>
        <w:rPr>
          <w:rFonts w:ascii="Calibri" w:hAnsi="Calibri" w:cs="Calibri"/>
        </w:rPr>
        <w:t xml:space="preserve"> (</w:t>
      </w:r>
      <w:r>
        <w:rPr>
          <w:rFonts w:ascii="Calibri" w:hAnsi="Calibri" w:cs="Calibri"/>
        </w:rPr>
        <w:t>9</w:t>
      </w:r>
      <w:r w:rsidRPr="007E4386">
        <w:rPr>
          <w:rFonts w:ascii="Calibri" w:hAnsi="Calibri" w:cs="Calibri"/>
        </w:rPr>
        <w:t>)</w:t>
      </w:r>
      <w:r w:rsidRPr="003E4AC7">
        <w:rPr>
          <w:rFonts w:ascii="Calibri" w:hAnsi="Calibri" w:cs="Calibri"/>
        </w:rPr>
        <w:t xml:space="preserve">. </w:t>
      </w:r>
      <w:r w:rsidRPr="003E4AC7">
        <w:rPr>
          <w:rFonts w:ascii="Calibri" w:hAnsi="Calibri" w:cs="Calibri"/>
          <w:i/>
        </w:rPr>
        <w:t>Mycobacterium tuberc</w:t>
      </w:r>
      <w:r>
        <w:rPr>
          <w:rFonts w:ascii="Calibri" w:hAnsi="Calibri" w:cs="Calibri"/>
          <w:i/>
        </w:rPr>
        <w:t>u</w:t>
      </w:r>
      <w:r w:rsidRPr="003E4AC7">
        <w:rPr>
          <w:rFonts w:ascii="Calibri" w:hAnsi="Calibri" w:cs="Calibri"/>
          <w:i/>
        </w:rPr>
        <w:t>losis</w:t>
      </w:r>
      <w:r w:rsidRPr="003E4AC7">
        <w:rPr>
          <w:rFonts w:ascii="Calibri" w:hAnsi="Calibri" w:cs="Calibri"/>
        </w:rPr>
        <w:t xml:space="preserve"> de</w:t>
      </w:r>
      <w:r>
        <w:rPr>
          <w:rFonts w:ascii="Calibri" w:hAnsi="Calibri" w:cs="Calibri"/>
        </w:rPr>
        <w:t>ritzon bazilo batek eragiten du</w:t>
      </w:r>
      <w:r w:rsidRPr="003E4AC7">
        <w:rPr>
          <w:rFonts w:ascii="Calibri" w:hAnsi="Calibri" w:cs="Calibri"/>
        </w:rPr>
        <w:t xml:space="preserve"> eta airetik transmititzen da, kutsakorra den pertsonak eztula edo doministiku egiterakoan. Gehienetan birikei eragiten die (biriketako tuberkulosia), nahiz eta gorputzeko beste organo edo lokalizaziotan topatu daitekeen</w:t>
      </w:r>
      <w:r>
        <w:rPr>
          <w:rFonts w:ascii="Calibri" w:hAnsi="Calibri" w:cs="Calibri"/>
        </w:rPr>
        <w:t xml:space="preserve"> ere</w:t>
      </w:r>
      <w:r w:rsidRPr="003E4AC7">
        <w:rPr>
          <w:rFonts w:ascii="Calibri" w:hAnsi="Calibri" w:cs="Calibri"/>
        </w:rPr>
        <w:t xml:space="preserve"> (</w:t>
      </w:r>
      <w:bookmarkStart w:id="0" w:name="_Ref10028696"/>
      <w:r>
        <w:rPr>
          <w:rFonts w:ascii="Calibri" w:hAnsi="Calibri" w:cs="Calibri"/>
        </w:rPr>
        <w:t>10</w:t>
      </w:r>
      <w:bookmarkEnd w:id="0"/>
      <w:r w:rsidRPr="003E4AC7">
        <w:rPr>
          <w:rFonts w:ascii="Calibri" w:hAnsi="Calibri" w:cs="Calibri"/>
        </w:rPr>
        <w:t>).</w:t>
      </w:r>
    </w:p>
    <w:p w:rsidR="00EA1049" w:rsidRDefault="00EA1049" w:rsidP="00CC2E2C">
      <w:pPr>
        <w:contextualSpacing/>
        <w:jc w:val="both"/>
        <w:rPr>
          <w:rFonts w:ascii="Calibri" w:hAnsi="Calibri" w:cs="Calibri"/>
        </w:rPr>
      </w:pPr>
    </w:p>
    <w:p w:rsidR="00EA1049" w:rsidRPr="001D2055" w:rsidRDefault="00EA1049" w:rsidP="00CC2E2C">
      <w:pPr>
        <w:contextualSpacing/>
        <w:jc w:val="both"/>
        <w:rPr>
          <w:rFonts w:ascii="Calibri" w:hAnsi="Calibri" w:cs="Calibri"/>
        </w:rPr>
      </w:pPr>
      <w:r w:rsidRPr="00E81C13">
        <w:rPr>
          <w:rFonts w:ascii="Calibri" w:hAnsi="Calibri" w:cs="Calibri"/>
        </w:rPr>
        <w:t>Tuberkulosia</w:t>
      </w:r>
      <w:r>
        <w:rPr>
          <w:rFonts w:ascii="Calibri" w:hAnsi="Calibri" w:cs="Calibri"/>
        </w:rPr>
        <w:t xml:space="preserve"> </w:t>
      </w:r>
      <w:r w:rsidRPr="00E81C13">
        <w:rPr>
          <w:rFonts w:ascii="Calibri" w:hAnsi="Calibri" w:cs="Calibri"/>
        </w:rPr>
        <w:t>mundu mailan heriotza</w:t>
      </w:r>
      <w:r>
        <w:rPr>
          <w:rFonts w:ascii="Calibri" w:hAnsi="Calibri" w:cs="Calibri"/>
        </w:rPr>
        <w:t xml:space="preserve"> gehien</w:t>
      </w:r>
      <w:r w:rsidRPr="00E81C13">
        <w:rPr>
          <w:rFonts w:ascii="Calibri" w:hAnsi="Calibri" w:cs="Calibri"/>
        </w:rPr>
        <w:t xml:space="preserve"> eragiten duten lehengo 10 </w:t>
      </w:r>
      <w:r>
        <w:rPr>
          <w:rFonts w:ascii="Calibri" w:hAnsi="Calibri" w:cs="Calibri"/>
        </w:rPr>
        <w:t xml:space="preserve">zergatien </w:t>
      </w:r>
      <w:r w:rsidRPr="00E81C13">
        <w:rPr>
          <w:rFonts w:ascii="Calibri" w:hAnsi="Calibri" w:cs="Calibri"/>
        </w:rPr>
        <w:t>artean kokat</w:t>
      </w:r>
      <w:r>
        <w:rPr>
          <w:rFonts w:ascii="Calibri" w:hAnsi="Calibri" w:cs="Calibri"/>
        </w:rPr>
        <w:t>u</w:t>
      </w:r>
      <w:r w:rsidRPr="00E81C13">
        <w:rPr>
          <w:rFonts w:ascii="Calibri" w:hAnsi="Calibri" w:cs="Calibri"/>
        </w:rPr>
        <w:t xml:space="preserve"> zen 2017. urtean</w:t>
      </w:r>
      <w:r>
        <w:rPr>
          <w:rFonts w:ascii="Calibri" w:hAnsi="Calibri" w:cs="Calibri"/>
        </w:rPr>
        <w:t>.</w:t>
      </w:r>
      <w:r w:rsidRPr="00E81C13">
        <w:rPr>
          <w:rFonts w:ascii="Calibri" w:hAnsi="Calibri" w:cs="Calibri"/>
        </w:rPr>
        <w:t xml:space="preserve"> Osasunaren Munduko Erakundearen (OMEren) arabera urte horretan 10 milioi kasu berri eta 1,6 mil</w:t>
      </w:r>
      <w:r>
        <w:rPr>
          <w:rFonts w:ascii="Calibri" w:hAnsi="Calibri" w:cs="Calibri"/>
        </w:rPr>
        <w:t>i</w:t>
      </w:r>
      <w:r w:rsidRPr="00E81C13">
        <w:rPr>
          <w:rFonts w:ascii="Calibri" w:hAnsi="Calibri" w:cs="Calibri"/>
        </w:rPr>
        <w:t xml:space="preserve">oi heriotza eragin zituen. Gaitz </w:t>
      </w:r>
      <w:r w:rsidRPr="003E4AC7">
        <w:rPr>
          <w:rFonts w:ascii="Calibri" w:hAnsi="Calibri" w:cs="Calibri"/>
        </w:rPr>
        <w:t>honek ez die berdin eragiten lurralde guztiei, ezta egoera sozioekonomiko desberdina duten p</w:t>
      </w:r>
      <w:r>
        <w:rPr>
          <w:rFonts w:ascii="Calibri" w:hAnsi="Calibri" w:cs="Calibri"/>
        </w:rPr>
        <w:t>ertsonei ere. Esaterako, aipaturiko 2017ko</w:t>
      </w:r>
      <w:r w:rsidRPr="003E4AC7">
        <w:rPr>
          <w:rFonts w:ascii="Calibri" w:hAnsi="Calibri" w:cs="Calibri"/>
        </w:rPr>
        <w:t xml:space="preserve"> 10 milioi kasu</w:t>
      </w:r>
      <w:r>
        <w:rPr>
          <w:rFonts w:ascii="Calibri" w:hAnsi="Calibri" w:cs="Calibri"/>
        </w:rPr>
        <w:t xml:space="preserve"> berrietatik</w:t>
      </w:r>
      <w:r w:rsidRPr="003E4AC7">
        <w:rPr>
          <w:rFonts w:ascii="Calibri" w:hAnsi="Calibri" w:cs="Calibri"/>
        </w:rPr>
        <w:t>, bi heren munduko zortzi lurraldetan gertatu ziren: India (%</w:t>
      </w:r>
      <w:r w:rsidRPr="005C5C18">
        <w:rPr>
          <w:rFonts w:ascii="Calibri" w:hAnsi="Calibri" w:cs="Calibri"/>
          <w:color w:val="FFFFFF" w:themeColor="background1"/>
        </w:rPr>
        <w:t>.</w:t>
      </w:r>
      <w:r w:rsidRPr="003E4AC7">
        <w:rPr>
          <w:rFonts w:ascii="Calibri" w:hAnsi="Calibri" w:cs="Calibri"/>
        </w:rPr>
        <w:t>27), Txina (%</w:t>
      </w:r>
      <w:r>
        <w:rPr>
          <w:rFonts w:ascii="Calibri" w:hAnsi="Calibri" w:cs="Calibri"/>
        </w:rPr>
        <w:t xml:space="preserve"> </w:t>
      </w:r>
      <w:r w:rsidRPr="003E4AC7">
        <w:rPr>
          <w:rFonts w:ascii="Calibri" w:hAnsi="Calibri" w:cs="Calibri"/>
        </w:rPr>
        <w:t>9), Indonesia (%</w:t>
      </w:r>
      <w:r>
        <w:rPr>
          <w:rFonts w:ascii="Calibri" w:hAnsi="Calibri" w:cs="Calibri"/>
        </w:rPr>
        <w:t xml:space="preserve"> </w:t>
      </w:r>
      <w:r w:rsidRPr="003E4AC7">
        <w:rPr>
          <w:rFonts w:ascii="Calibri" w:hAnsi="Calibri" w:cs="Calibri"/>
        </w:rPr>
        <w:t>8), Filipinak (%</w:t>
      </w:r>
      <w:r>
        <w:rPr>
          <w:rFonts w:ascii="Calibri" w:hAnsi="Calibri" w:cs="Calibri"/>
        </w:rPr>
        <w:t xml:space="preserve"> </w:t>
      </w:r>
      <w:r w:rsidRPr="003E4AC7">
        <w:rPr>
          <w:rFonts w:ascii="Calibri" w:hAnsi="Calibri" w:cs="Calibri"/>
        </w:rPr>
        <w:t>6), Pakistan (%</w:t>
      </w:r>
      <w:r>
        <w:rPr>
          <w:rFonts w:ascii="Calibri" w:hAnsi="Calibri" w:cs="Calibri"/>
        </w:rPr>
        <w:t xml:space="preserve"> </w:t>
      </w:r>
      <w:r w:rsidRPr="003E4AC7">
        <w:rPr>
          <w:rFonts w:ascii="Calibri" w:hAnsi="Calibri" w:cs="Calibri"/>
        </w:rPr>
        <w:t>5), Nigeria (%</w:t>
      </w:r>
      <w:r>
        <w:rPr>
          <w:rFonts w:ascii="Calibri" w:hAnsi="Calibri" w:cs="Calibri"/>
        </w:rPr>
        <w:t xml:space="preserve"> </w:t>
      </w:r>
      <w:r w:rsidRPr="003E4AC7">
        <w:rPr>
          <w:rFonts w:ascii="Calibri" w:hAnsi="Calibri" w:cs="Calibri"/>
        </w:rPr>
        <w:t xml:space="preserve">4), </w:t>
      </w:r>
      <w:r w:rsidRPr="003E4AC7">
        <w:rPr>
          <w:rFonts w:ascii="Calibri" w:hAnsi="Calibri" w:cs="Calibri"/>
        </w:rPr>
        <w:lastRenderedPageBreak/>
        <w:t>Bangladesh (%</w:t>
      </w:r>
      <w:r w:rsidRPr="005C5C18">
        <w:rPr>
          <w:rFonts w:ascii="Calibri" w:hAnsi="Calibri" w:cs="Calibri"/>
          <w:color w:val="FFFFFF" w:themeColor="background1"/>
        </w:rPr>
        <w:t>.</w:t>
      </w:r>
      <w:r w:rsidRPr="003E4AC7">
        <w:rPr>
          <w:rFonts w:ascii="Calibri" w:hAnsi="Calibri" w:cs="Calibri"/>
        </w:rPr>
        <w:t>4) eta Hegoafrika (%</w:t>
      </w:r>
      <w:r>
        <w:rPr>
          <w:rFonts w:ascii="Calibri" w:hAnsi="Calibri" w:cs="Calibri"/>
        </w:rPr>
        <w:t xml:space="preserve"> </w:t>
      </w:r>
      <w:r w:rsidRPr="003E4AC7">
        <w:rPr>
          <w:rFonts w:ascii="Calibri" w:hAnsi="Calibri" w:cs="Calibri"/>
        </w:rPr>
        <w:t>3) (</w:t>
      </w:r>
      <w:r w:rsidRPr="003E4AC7">
        <w:rPr>
          <w:rFonts w:ascii="Calibri" w:hAnsi="Calibri" w:cs="Calibri"/>
        </w:rPr>
        <w:fldChar w:fldCharType="begin"/>
      </w:r>
      <w:r w:rsidRPr="003E4AC7">
        <w:rPr>
          <w:rFonts w:ascii="Calibri" w:hAnsi="Calibri" w:cs="Calibri"/>
        </w:rPr>
        <w:instrText xml:space="preserve"> NOTEREF _Ref10028696 \h </w:instrText>
      </w:r>
      <w:r w:rsidRPr="003E4AC7">
        <w:rPr>
          <w:rFonts w:ascii="Calibri" w:hAnsi="Calibri" w:cs="Calibri"/>
        </w:rPr>
      </w:r>
      <w:r w:rsidRPr="003E4AC7">
        <w:rPr>
          <w:rFonts w:ascii="Calibri" w:hAnsi="Calibri" w:cs="Calibri"/>
        </w:rPr>
        <w:fldChar w:fldCharType="separate"/>
      </w:r>
      <w:r>
        <w:rPr>
          <w:rFonts w:ascii="Calibri" w:hAnsi="Calibri" w:cs="Calibri"/>
        </w:rPr>
        <w:t>10</w:t>
      </w:r>
      <w:r w:rsidRPr="003E4AC7">
        <w:rPr>
          <w:rFonts w:ascii="Calibri" w:hAnsi="Calibri" w:cs="Calibri"/>
        </w:rPr>
        <w:fldChar w:fldCharType="end"/>
      </w:r>
      <w:r w:rsidRPr="003E4AC7">
        <w:rPr>
          <w:rFonts w:ascii="Calibri" w:hAnsi="Calibri" w:cs="Calibri"/>
        </w:rPr>
        <w:t>). Lurralde garatuei dagokienez, oro har, intzidentzia altuagoak antzematen dira atzerrian jaiotako pertsonetan edota maila sozioekonomiko baxuagoa dutenetan (</w:t>
      </w:r>
      <w:r>
        <w:rPr>
          <w:rFonts w:ascii="Calibri" w:hAnsi="Calibri" w:cs="Calibri"/>
        </w:rPr>
        <w:t>11-14</w:t>
      </w:r>
      <w:r w:rsidRPr="003E4AC7">
        <w:rPr>
          <w:rFonts w:ascii="Calibri" w:hAnsi="Calibri" w:cs="Calibri"/>
        </w:rPr>
        <w:t>).</w:t>
      </w:r>
    </w:p>
    <w:p w:rsidR="00EA1049" w:rsidRPr="001D2055" w:rsidRDefault="00EA1049" w:rsidP="00CC2E2C">
      <w:pPr>
        <w:contextualSpacing/>
        <w:jc w:val="both"/>
        <w:rPr>
          <w:rFonts w:ascii="Calibri" w:hAnsi="Calibri" w:cs="Calibri"/>
        </w:rPr>
      </w:pPr>
    </w:p>
    <w:p w:rsidR="00EA1049" w:rsidRPr="003E4AC7" w:rsidRDefault="00EA1049" w:rsidP="00CC2E2C">
      <w:pPr>
        <w:contextualSpacing/>
        <w:jc w:val="both"/>
        <w:rPr>
          <w:rFonts w:ascii="Calibri" w:hAnsi="Calibri" w:cs="Calibri"/>
        </w:rPr>
      </w:pPr>
      <w:r w:rsidRPr="003E4AC7">
        <w:rPr>
          <w:rFonts w:ascii="Calibri" w:hAnsi="Calibri" w:cs="Calibri"/>
        </w:rPr>
        <w:t xml:space="preserve">Hiru lurralde historikoetako Epidemiologia Unitateek 2003-2009 denboraldiko datuekin egindako </w:t>
      </w:r>
      <w:r>
        <w:rPr>
          <w:rFonts w:ascii="Calibri" w:hAnsi="Calibri" w:cs="Calibri"/>
        </w:rPr>
        <w:t>ikerketa batean</w:t>
      </w:r>
      <w:r w:rsidRPr="003E4AC7">
        <w:rPr>
          <w:rFonts w:ascii="Calibri" w:hAnsi="Calibri" w:cs="Calibri"/>
        </w:rPr>
        <w:t xml:space="preserve">, EAEn tuberkulosiaren intzidentzia eta egoera sozioekonomikoaren </w:t>
      </w:r>
      <w:r w:rsidRPr="00E81C13">
        <w:rPr>
          <w:rFonts w:ascii="Calibri" w:hAnsi="Calibri" w:cs="Calibri"/>
        </w:rPr>
        <w:t>arteko asoziazioa a</w:t>
      </w:r>
      <w:r>
        <w:rPr>
          <w:rFonts w:ascii="Calibri" w:hAnsi="Calibri" w:cs="Calibri"/>
        </w:rPr>
        <w:t>urkitu zuten</w:t>
      </w:r>
      <w:r w:rsidRPr="003E4AC7">
        <w:rPr>
          <w:rFonts w:ascii="Calibri" w:hAnsi="Calibri" w:cs="Calibri"/>
        </w:rPr>
        <w:t xml:space="preserve"> (argitaratu gabeko datuak). </w:t>
      </w:r>
      <w:r>
        <w:rPr>
          <w:rFonts w:ascii="Calibri" w:hAnsi="Calibri" w:cs="Calibri"/>
        </w:rPr>
        <w:t>O</w:t>
      </w:r>
      <w:r w:rsidRPr="003E4AC7">
        <w:rPr>
          <w:rFonts w:ascii="Calibri" w:hAnsi="Calibri" w:cs="Calibri"/>
        </w:rPr>
        <w:t>sasun estaldura unibertsala duen gizarte honetan,</w:t>
      </w:r>
      <w:r>
        <w:rPr>
          <w:rFonts w:ascii="Calibri" w:hAnsi="Calibri" w:cs="Calibri"/>
        </w:rPr>
        <w:t xml:space="preserve"> e</w:t>
      </w:r>
      <w:r w:rsidRPr="003E4AC7">
        <w:rPr>
          <w:rFonts w:ascii="Calibri" w:hAnsi="Calibri" w:cs="Calibri"/>
        </w:rPr>
        <w:t>rlazio horren eboluzioa az</w:t>
      </w:r>
      <w:r>
        <w:rPr>
          <w:rFonts w:ascii="Calibri" w:hAnsi="Calibri" w:cs="Calibri"/>
        </w:rPr>
        <w:t>tertzea garrantzitsua</w:t>
      </w:r>
      <w:r w:rsidRPr="003E4AC7">
        <w:rPr>
          <w:rFonts w:ascii="Calibri" w:hAnsi="Calibri" w:cs="Calibri"/>
        </w:rPr>
        <w:t xml:space="preserve"> da, egoera ekonomiko orokorrak duen eragina ikertzeko</w:t>
      </w:r>
      <w:r>
        <w:rPr>
          <w:rFonts w:ascii="Calibri" w:hAnsi="Calibri" w:cs="Calibri"/>
        </w:rPr>
        <w:t xml:space="preserve"> helburuz</w:t>
      </w:r>
      <w:r w:rsidRPr="003E4AC7">
        <w:rPr>
          <w:rFonts w:ascii="Calibri" w:hAnsi="Calibri" w:cs="Calibri"/>
        </w:rPr>
        <w:t xml:space="preserve">. </w:t>
      </w:r>
    </w:p>
    <w:p w:rsidR="00EA1049" w:rsidRPr="003E4AC7" w:rsidRDefault="00EA1049" w:rsidP="00CC2E2C">
      <w:pPr>
        <w:contextualSpacing/>
        <w:jc w:val="both"/>
        <w:rPr>
          <w:rFonts w:ascii="Calibri" w:hAnsi="Calibri" w:cs="Calibri"/>
        </w:rPr>
      </w:pPr>
    </w:p>
    <w:p w:rsidR="00EA1049" w:rsidRPr="003E4AC7" w:rsidRDefault="00EA1049" w:rsidP="00CC2E2C">
      <w:pPr>
        <w:contextualSpacing/>
        <w:jc w:val="both"/>
        <w:rPr>
          <w:rFonts w:ascii="Calibri" w:hAnsi="Calibri" w:cs="Calibri"/>
        </w:rPr>
      </w:pPr>
      <w:r w:rsidRPr="003E4AC7">
        <w:rPr>
          <w:rFonts w:ascii="Calibri" w:hAnsi="Calibri" w:cs="Calibri"/>
        </w:rPr>
        <w:t>Horiek horrela, ikerlan honen helburu nagusia 2010-2017 denboraldian maila sozioekonomiko</w:t>
      </w:r>
      <w:r>
        <w:rPr>
          <w:rFonts w:ascii="Calibri" w:hAnsi="Calibri" w:cs="Calibri"/>
        </w:rPr>
        <w:t>a</w:t>
      </w:r>
      <w:r w:rsidRPr="003E4AC7">
        <w:rPr>
          <w:rFonts w:ascii="Calibri" w:hAnsi="Calibri" w:cs="Calibri"/>
        </w:rPr>
        <w:t xml:space="preserve"> eta tuberkulosiaren intzidentziaren arteko erlazioa aztertzea da, Gipuzkoan bizi diren gizon eta emakumeetan. Gainera, egoera sozioekonomikoak diagnostikoaren atzerapenean edota tratamendua betetzean eragina duten analizatuko da. Azkenik, gaixotasun honen intzidentziaren eboluzioa ere aztertuko da 2003 eta 2017 urteetan zehar, gabe</w:t>
      </w:r>
      <w:r>
        <w:rPr>
          <w:rFonts w:ascii="Calibri" w:hAnsi="Calibri" w:cs="Calibri"/>
        </w:rPr>
        <w:t>zia</w:t>
      </w:r>
      <w:r w:rsidRPr="003E4AC7">
        <w:rPr>
          <w:rFonts w:ascii="Calibri" w:hAnsi="Calibri" w:cs="Calibri"/>
        </w:rPr>
        <w:t xml:space="preserve">-maila desberdinentzat. </w:t>
      </w:r>
    </w:p>
    <w:p w:rsidR="00EA1049" w:rsidRPr="003E4AC7" w:rsidRDefault="00EA1049" w:rsidP="00CC2E2C">
      <w:pPr>
        <w:contextualSpacing/>
        <w:jc w:val="both"/>
        <w:rPr>
          <w:rFonts w:ascii="Calibri" w:hAnsi="Calibri" w:cs="Calibri"/>
        </w:rPr>
      </w:pPr>
    </w:p>
    <w:p w:rsidR="00EA1049" w:rsidRPr="003E4AC7" w:rsidRDefault="00EA1049" w:rsidP="00CC2E2C">
      <w:pPr>
        <w:contextualSpacing/>
        <w:jc w:val="both"/>
        <w:rPr>
          <w:rFonts w:ascii="Calibri" w:hAnsi="Calibri" w:cs="Calibri"/>
        </w:rPr>
      </w:pPr>
    </w:p>
    <w:p w:rsidR="00EA1049" w:rsidRPr="003E4AC7" w:rsidRDefault="00EA1049" w:rsidP="00CC2E2C">
      <w:pPr>
        <w:contextualSpacing/>
        <w:jc w:val="both"/>
        <w:rPr>
          <w:rFonts w:ascii="Calibri" w:hAnsi="Calibri" w:cs="Calibri"/>
          <w:b/>
        </w:rPr>
      </w:pPr>
      <w:r w:rsidRPr="003E4AC7">
        <w:rPr>
          <w:rFonts w:ascii="Calibri" w:hAnsi="Calibri" w:cs="Calibri"/>
          <w:b/>
        </w:rPr>
        <w:t>Metodoa</w:t>
      </w:r>
    </w:p>
    <w:p w:rsidR="00EA1049" w:rsidRPr="003E4AC7"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sidRPr="003E4AC7">
        <w:rPr>
          <w:rFonts w:ascii="Calibri" w:hAnsi="Calibri" w:cs="Calibri"/>
        </w:rPr>
        <w:t>Zeharkako ikerketa bat burutu da, Gipuzkoan 2010-2017 denboraldian tuberkulo</w:t>
      </w:r>
      <w:r>
        <w:rPr>
          <w:rFonts w:ascii="Calibri" w:hAnsi="Calibri" w:cs="Calibri"/>
        </w:rPr>
        <w:t>siaren intzidentzia aztertzeko.</w:t>
      </w:r>
    </w:p>
    <w:p w:rsidR="00EA1049" w:rsidRPr="003E4AC7" w:rsidRDefault="00EA1049" w:rsidP="00CC2E2C">
      <w:pPr>
        <w:contextualSpacing/>
        <w:jc w:val="both"/>
        <w:rPr>
          <w:rFonts w:ascii="Calibri" w:hAnsi="Calibri" w:cs="Calibri"/>
        </w:rPr>
      </w:pPr>
    </w:p>
    <w:p w:rsidR="00EA1049" w:rsidRPr="003E4AC7" w:rsidRDefault="00EA1049" w:rsidP="00CC2E2C">
      <w:pPr>
        <w:contextualSpacing/>
        <w:jc w:val="both"/>
        <w:rPr>
          <w:rFonts w:ascii="Calibri" w:hAnsi="Calibri" w:cs="Calibri"/>
        </w:rPr>
      </w:pPr>
      <w:r w:rsidRPr="003E4AC7">
        <w:rPr>
          <w:rFonts w:ascii="Calibri" w:hAnsi="Calibri" w:cs="Calibri"/>
        </w:rPr>
        <w:t xml:space="preserve">Ikertutako populazioa eta datuen iturria: </w:t>
      </w:r>
    </w:p>
    <w:p w:rsidR="00EA1049" w:rsidRPr="003E4AC7" w:rsidRDefault="00EA1049" w:rsidP="00CC2E2C">
      <w:pPr>
        <w:contextualSpacing/>
        <w:jc w:val="both"/>
        <w:rPr>
          <w:rFonts w:ascii="Calibri" w:hAnsi="Calibri" w:cs="Calibri"/>
        </w:rPr>
      </w:pPr>
    </w:p>
    <w:p w:rsidR="00EA1049" w:rsidRPr="003E4AC7" w:rsidRDefault="00EA1049" w:rsidP="00CC2E2C">
      <w:pPr>
        <w:contextualSpacing/>
        <w:jc w:val="both"/>
        <w:rPr>
          <w:rFonts w:ascii="Calibri" w:hAnsi="Calibri" w:cs="Calibri"/>
        </w:rPr>
      </w:pPr>
      <w:r w:rsidRPr="003E4AC7">
        <w:rPr>
          <w:rFonts w:ascii="Calibri" w:hAnsi="Calibri" w:cs="Calibri"/>
        </w:rPr>
        <w:t xml:space="preserve">Azterlan honetan 2010 eta 2017 bitartean Gipuzkoako Erakunde Sanitario Integraturen batean bizi ziren pertsonen tuberkulosi diagnostikoak kontuan hartu dira. Datuok EAEko derrigorrez aitortu beharreko gaixotasunen (ABG) </w:t>
      </w:r>
      <w:r>
        <w:rPr>
          <w:rFonts w:ascii="Calibri" w:hAnsi="Calibri" w:cs="Calibri"/>
        </w:rPr>
        <w:t xml:space="preserve">erregistrotik </w:t>
      </w:r>
      <w:r w:rsidRPr="003E4AC7">
        <w:rPr>
          <w:rFonts w:ascii="Calibri" w:hAnsi="Calibri" w:cs="Calibri"/>
        </w:rPr>
        <w:t>bildu dira. Azken horrek, zehaztasunik onena bermatzeko asmoz, bilaketa aktiboa sustatzen du 1995az geroztik. Ikertutako kasuen aldagaiak hurrengoak izan dira: sexua, adina, bizitokiaren posta-helbidea, jaioterria, gaixotasunaren lokalizazioa, diagnostikoaren atzerapena (lehenengo sintomak garatzen direnetik tratamendua hartzen hasi arte igarotako denbora) eta tratamendua</w:t>
      </w:r>
      <w:r>
        <w:rPr>
          <w:rFonts w:ascii="Calibri" w:hAnsi="Calibri" w:cs="Calibri"/>
        </w:rPr>
        <w:t>ren</w:t>
      </w:r>
      <w:r w:rsidRPr="003E4AC7">
        <w:rPr>
          <w:rFonts w:ascii="Calibri" w:hAnsi="Calibri" w:cs="Calibri"/>
        </w:rPr>
        <w:t xml:space="preserve"> betetzea. </w:t>
      </w:r>
    </w:p>
    <w:p w:rsidR="00EA1049" w:rsidRPr="003E4AC7" w:rsidRDefault="00EA1049" w:rsidP="00CC2E2C">
      <w:pPr>
        <w:contextualSpacing/>
        <w:jc w:val="both"/>
        <w:rPr>
          <w:rFonts w:ascii="Calibri" w:hAnsi="Calibri" w:cs="Calibri"/>
        </w:rPr>
      </w:pPr>
    </w:p>
    <w:p w:rsidR="00EA1049" w:rsidRPr="003E4AC7" w:rsidRDefault="00EA1049" w:rsidP="00CC2E2C">
      <w:pPr>
        <w:contextualSpacing/>
        <w:jc w:val="both"/>
        <w:rPr>
          <w:rFonts w:ascii="Calibri" w:hAnsi="Calibri" w:cs="Calibri"/>
        </w:rPr>
      </w:pPr>
      <w:r w:rsidRPr="003E4AC7">
        <w:rPr>
          <w:rFonts w:ascii="Calibri" w:hAnsi="Calibri" w:cs="Calibri"/>
        </w:rPr>
        <w:t xml:space="preserve">Maila sozioekonomikoa: </w:t>
      </w:r>
    </w:p>
    <w:p w:rsidR="00EA1049" w:rsidRPr="003E4AC7" w:rsidRDefault="00EA1049" w:rsidP="00CC2E2C">
      <w:pPr>
        <w:contextualSpacing/>
        <w:jc w:val="both"/>
        <w:rPr>
          <w:rFonts w:ascii="Calibri" w:hAnsi="Calibri" w:cs="Calibri"/>
        </w:rPr>
      </w:pPr>
    </w:p>
    <w:p w:rsidR="00EA1049" w:rsidRPr="003E4AC7" w:rsidRDefault="00EA1049" w:rsidP="00CC2E2C">
      <w:pPr>
        <w:contextualSpacing/>
        <w:jc w:val="both"/>
        <w:rPr>
          <w:rFonts w:ascii="Calibri" w:hAnsi="Calibri" w:cs="Calibri"/>
        </w:rPr>
      </w:pPr>
      <w:r w:rsidRPr="003E4AC7">
        <w:rPr>
          <w:rFonts w:ascii="Calibri" w:hAnsi="Calibri" w:cs="Calibri"/>
        </w:rPr>
        <w:t xml:space="preserve">Maila sozioekonomikoa aztertzeko, paziente bakoitzari modu ekologikoan esleitutako gabezia-indizea erabili da, diagnostiko aldian bizi ziren errolda sekzioko informazioaz baliatuta. </w:t>
      </w:r>
      <w:r>
        <w:rPr>
          <w:rFonts w:ascii="Calibri" w:hAnsi="Calibri" w:cs="Calibri"/>
        </w:rPr>
        <w:t>Kasuen</w:t>
      </w:r>
      <w:r w:rsidRPr="003E4AC7">
        <w:rPr>
          <w:rFonts w:ascii="Calibri" w:hAnsi="Calibri" w:cs="Calibri"/>
        </w:rPr>
        <w:t xml:space="preserve"> posta-helbidearen datuak erabiliz, NORA programarekin geo</w:t>
      </w:r>
      <w:r>
        <w:rPr>
          <w:rFonts w:ascii="Calibri" w:hAnsi="Calibri" w:cs="Calibri"/>
        </w:rPr>
        <w:t>e</w:t>
      </w:r>
      <w:r w:rsidRPr="003E4AC7">
        <w:rPr>
          <w:rFonts w:ascii="Calibri" w:hAnsi="Calibri" w:cs="Calibri"/>
        </w:rPr>
        <w:t>rreferentzia</w:t>
      </w:r>
      <w:r>
        <w:rPr>
          <w:rFonts w:ascii="Calibri" w:hAnsi="Calibri" w:cs="Calibri"/>
        </w:rPr>
        <w:t>zioa</w:t>
      </w:r>
      <w:r w:rsidRPr="003E4AC7">
        <w:rPr>
          <w:rFonts w:ascii="Calibri" w:hAnsi="Calibri" w:cs="Calibri"/>
        </w:rPr>
        <w:t xml:space="preserve"> egin, eta ostean, 2011ko sekzioa</w:t>
      </w:r>
      <w:r>
        <w:rPr>
          <w:rFonts w:ascii="Calibri" w:hAnsi="Calibri" w:cs="Calibri"/>
        </w:rPr>
        <w:t>n oinarrituz</w:t>
      </w:r>
      <w:r w:rsidRPr="003E4AC7">
        <w:rPr>
          <w:rFonts w:ascii="Calibri" w:hAnsi="Calibri" w:cs="Calibri"/>
        </w:rPr>
        <w:t xml:space="preserve"> mapa batean kokatu ziren. Errolda sekzio bakoitzaren gabezia-indizearen kalkulua Osasun Saileko </w:t>
      </w:r>
      <w:r>
        <w:rPr>
          <w:rFonts w:ascii="Calibri" w:hAnsi="Calibri" w:cs="Calibri"/>
        </w:rPr>
        <w:t>Azterlan eta Ikerkuntza Sanitarioko Zerbitzuak</w:t>
      </w:r>
      <w:r w:rsidRPr="003E4AC7">
        <w:rPr>
          <w:rFonts w:ascii="Calibri" w:hAnsi="Calibri" w:cs="Calibri"/>
        </w:rPr>
        <w:t xml:space="preserve"> egin </w:t>
      </w:r>
      <w:r>
        <w:rPr>
          <w:rFonts w:ascii="Calibri" w:hAnsi="Calibri" w:cs="Calibri"/>
        </w:rPr>
        <w:t>z</w:t>
      </w:r>
      <w:r w:rsidRPr="003E4AC7">
        <w:rPr>
          <w:rFonts w:ascii="Calibri" w:hAnsi="Calibri" w:cs="Calibri"/>
        </w:rPr>
        <w:t>u</w:t>
      </w:r>
      <w:r>
        <w:rPr>
          <w:rFonts w:ascii="Calibri" w:hAnsi="Calibri" w:cs="Calibri"/>
        </w:rPr>
        <w:t>en</w:t>
      </w:r>
      <w:r w:rsidRPr="003E4AC7">
        <w:rPr>
          <w:rFonts w:ascii="Calibri" w:hAnsi="Calibri" w:cs="Calibri"/>
        </w:rPr>
        <w:t>, MEDEA ikerketaren metodologia bera erabiliz (</w:t>
      </w:r>
      <w:r>
        <w:rPr>
          <w:rFonts w:ascii="Calibri" w:hAnsi="Calibri" w:cs="Calibri"/>
        </w:rPr>
        <w:t>15</w:t>
      </w:r>
      <w:r>
        <w:rPr>
          <w:rFonts w:ascii="Calibri" w:hAnsi="Calibri" w:cs="Calibri"/>
        </w:rPr>
        <w:t>).</w:t>
      </w:r>
      <w:r w:rsidRPr="003E4AC7">
        <w:rPr>
          <w:rFonts w:ascii="Calibri" w:hAnsi="Calibri" w:cs="Calibri"/>
        </w:rPr>
        <w:t xml:space="preserve"> </w:t>
      </w:r>
      <w:r>
        <w:rPr>
          <w:rFonts w:ascii="Calibri" w:hAnsi="Calibri" w:cs="Calibri"/>
        </w:rPr>
        <w:t>Horretarako</w:t>
      </w:r>
      <w:r w:rsidRPr="003E4AC7">
        <w:rPr>
          <w:rFonts w:ascii="Calibri" w:hAnsi="Calibri" w:cs="Calibri"/>
        </w:rPr>
        <w:t xml:space="preserve">, 2011ko erroldako bost adierazle sozioekonomiko kontuan eduki </w:t>
      </w:r>
      <w:r>
        <w:rPr>
          <w:rFonts w:ascii="Calibri" w:hAnsi="Calibri" w:cs="Calibri"/>
        </w:rPr>
        <w:t>z</w:t>
      </w:r>
      <w:r w:rsidRPr="003E4AC7">
        <w:rPr>
          <w:rFonts w:ascii="Calibri" w:hAnsi="Calibri" w:cs="Calibri"/>
        </w:rPr>
        <w:t>ituzte</w:t>
      </w:r>
      <w:r>
        <w:rPr>
          <w:rFonts w:ascii="Calibri" w:hAnsi="Calibri" w:cs="Calibri"/>
        </w:rPr>
        <w:t>n</w:t>
      </w:r>
      <w:r w:rsidRPr="003E4AC7">
        <w:rPr>
          <w:rFonts w:ascii="Calibri" w:hAnsi="Calibri" w:cs="Calibri"/>
        </w:rPr>
        <w:t xml:space="preserve">: langabezian dauden pertsona aktiboen ehunekoa, kualifikatu gabeko eskulangileen ehunekoa, behin behineko soldatapekoen ehunekoa, lehen mailako ikasketak edo gutxiago dituzten pertsonen proportzioa, eta lehen mailako ikasketak edo gutxiago dituzten gazteen ehunekoa (16-29 urte). Aldagai nagusien </w:t>
      </w:r>
      <w:r w:rsidRPr="003E4AC7">
        <w:rPr>
          <w:rFonts w:ascii="Calibri" w:hAnsi="Calibri" w:cs="Calibri"/>
        </w:rPr>
        <w:lastRenderedPageBreak/>
        <w:t xml:space="preserve">analisia eginda, errolda sekzio bakoitzarentzat indize bat kalkulatu zuten. Ondoren, errolda sekzioak indize horren arabera ordenatu </w:t>
      </w:r>
      <w:r>
        <w:rPr>
          <w:rFonts w:ascii="Calibri" w:hAnsi="Calibri" w:cs="Calibri"/>
        </w:rPr>
        <w:t>z</w:t>
      </w:r>
      <w:r w:rsidRPr="003E4AC7">
        <w:rPr>
          <w:rFonts w:ascii="Calibri" w:hAnsi="Calibri" w:cs="Calibri"/>
        </w:rPr>
        <w:t>ituzte</w:t>
      </w:r>
      <w:r>
        <w:rPr>
          <w:rFonts w:ascii="Calibri" w:hAnsi="Calibri" w:cs="Calibri"/>
        </w:rPr>
        <w:t>n</w:t>
      </w:r>
      <w:r w:rsidRPr="003E4AC7">
        <w:rPr>
          <w:rFonts w:ascii="Calibri" w:hAnsi="Calibri" w:cs="Calibri"/>
        </w:rPr>
        <w:t>, eta bost kintiletan banandu. Era honetan, lehenengo kintila gabezia gutxien dituzten sekzioei dagoki</w:t>
      </w:r>
      <w:r>
        <w:rPr>
          <w:rFonts w:ascii="Calibri" w:hAnsi="Calibri" w:cs="Calibri"/>
        </w:rPr>
        <w:t>e (maila sozioekonomiko altuena)</w:t>
      </w:r>
      <w:r w:rsidRPr="003E4AC7">
        <w:rPr>
          <w:rFonts w:ascii="Calibri" w:hAnsi="Calibri" w:cs="Calibri"/>
        </w:rPr>
        <w:t>; bosgarrena, aldiz, gabezia-maila altuena dutenei</w:t>
      </w:r>
      <w:r>
        <w:rPr>
          <w:rFonts w:ascii="Calibri" w:hAnsi="Calibri" w:cs="Calibri"/>
        </w:rPr>
        <w:t xml:space="preserve"> (maila sozioekonomiko baxuena)</w:t>
      </w:r>
      <w:r w:rsidRPr="003E4AC7">
        <w:rPr>
          <w:rFonts w:ascii="Calibri" w:hAnsi="Calibri" w:cs="Calibri"/>
        </w:rPr>
        <w:t xml:space="preserve">. </w:t>
      </w:r>
    </w:p>
    <w:p w:rsidR="00EA1049" w:rsidRPr="003E4AC7" w:rsidRDefault="00EA1049" w:rsidP="00CC2E2C">
      <w:pPr>
        <w:contextualSpacing/>
        <w:jc w:val="both"/>
        <w:rPr>
          <w:rFonts w:ascii="Calibri" w:hAnsi="Calibri" w:cs="Calibri"/>
        </w:rPr>
      </w:pPr>
    </w:p>
    <w:p w:rsidR="00EA1049" w:rsidRPr="003E4AC7" w:rsidRDefault="00EA1049" w:rsidP="00CC2E2C">
      <w:pPr>
        <w:contextualSpacing/>
        <w:jc w:val="both"/>
        <w:rPr>
          <w:rFonts w:ascii="Calibri" w:hAnsi="Calibri" w:cs="Calibri"/>
        </w:rPr>
      </w:pPr>
      <w:r>
        <w:rPr>
          <w:rFonts w:ascii="Calibri" w:hAnsi="Calibri" w:cs="Calibri"/>
        </w:rPr>
        <w:t xml:space="preserve">Intzidentziaren kalkulurako, </w:t>
      </w:r>
      <w:r w:rsidRPr="003E4AC7">
        <w:rPr>
          <w:rFonts w:ascii="Calibri" w:hAnsi="Calibri" w:cs="Calibri"/>
        </w:rPr>
        <w:t>2011</w:t>
      </w:r>
      <w:r>
        <w:rPr>
          <w:rFonts w:ascii="Calibri" w:hAnsi="Calibri" w:cs="Calibri"/>
        </w:rPr>
        <w:t>ko</w:t>
      </w:r>
      <w:r w:rsidRPr="003E4AC7">
        <w:rPr>
          <w:rFonts w:ascii="Calibri" w:hAnsi="Calibri" w:cs="Calibri"/>
        </w:rPr>
        <w:t xml:space="preserve"> erroldatik lortu da </w:t>
      </w:r>
      <w:r>
        <w:rPr>
          <w:rFonts w:ascii="Calibri" w:hAnsi="Calibri" w:cs="Calibri"/>
        </w:rPr>
        <w:t>b</w:t>
      </w:r>
      <w:r w:rsidRPr="003E4AC7">
        <w:rPr>
          <w:rFonts w:ascii="Calibri" w:hAnsi="Calibri" w:cs="Calibri"/>
        </w:rPr>
        <w:t>iztanle kopurua, sekzio bakoitzeko</w:t>
      </w:r>
      <w:r>
        <w:rPr>
          <w:rFonts w:ascii="Calibri" w:hAnsi="Calibri" w:cs="Calibri"/>
        </w:rPr>
        <w:t xml:space="preserve"> eta adin zein sexuaren arabera</w:t>
      </w:r>
      <w:r w:rsidRPr="003E4AC7">
        <w:rPr>
          <w:rFonts w:ascii="Calibri" w:hAnsi="Calibri" w:cs="Calibri"/>
        </w:rPr>
        <w:t>. Maila sozioekonomiko desberdinen populazioa kalkulatzeko, kintil bakoitzari dagokion errolda sekzioetako biztanleria</w:t>
      </w:r>
      <w:r>
        <w:rPr>
          <w:rFonts w:ascii="Calibri" w:hAnsi="Calibri" w:cs="Calibri"/>
        </w:rPr>
        <w:t xml:space="preserve"> </w:t>
      </w:r>
      <w:r w:rsidRPr="003E4AC7">
        <w:rPr>
          <w:rFonts w:ascii="Calibri" w:hAnsi="Calibri" w:cs="Calibri"/>
        </w:rPr>
        <w:t>aintzat hartu da.</w:t>
      </w:r>
    </w:p>
    <w:p w:rsidR="00EA1049" w:rsidRPr="003E4AC7" w:rsidRDefault="00EA1049" w:rsidP="00CC2E2C">
      <w:pPr>
        <w:contextualSpacing/>
        <w:jc w:val="both"/>
        <w:rPr>
          <w:rFonts w:ascii="Calibri" w:hAnsi="Calibri" w:cs="Calibri"/>
        </w:rPr>
      </w:pPr>
    </w:p>
    <w:p w:rsidR="00EA1049" w:rsidRPr="003E4AC7" w:rsidRDefault="00EA1049" w:rsidP="00CC2E2C">
      <w:pPr>
        <w:contextualSpacing/>
        <w:jc w:val="both"/>
        <w:rPr>
          <w:rFonts w:ascii="Calibri" w:hAnsi="Calibri" w:cs="Calibri"/>
        </w:rPr>
      </w:pPr>
      <w:r w:rsidRPr="003E4AC7">
        <w:rPr>
          <w:rFonts w:ascii="Calibri" w:hAnsi="Calibri" w:cs="Calibri"/>
        </w:rPr>
        <w:t xml:space="preserve">Analisi estatistikoa: </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Pr>
          <w:rFonts w:ascii="Calibri" w:hAnsi="Calibri" w:cs="Calibri"/>
        </w:rPr>
        <w:t xml:space="preserve">Bost gabezia-maila ezberdinetan aldagaien artean estatistikoki esanguratsuak diren desberdintasunak dauden ikertzeko, hainbat analisi estatistiko erabili dira. Alegia, </w:t>
      </w:r>
      <w:r w:rsidRPr="009B2D07">
        <w:rPr>
          <w:rFonts w:ascii="Calibri" w:hAnsi="Calibri" w:cs="Calibri"/>
        </w:rPr>
        <w:t>khi karratuaren proba eta Fisher-en proba zehatza</w:t>
      </w:r>
      <w:r>
        <w:rPr>
          <w:rFonts w:ascii="Calibri" w:hAnsi="Calibri" w:cs="Calibri"/>
        </w:rPr>
        <w:t xml:space="preserve"> proportzioen konparaketarako (</w:t>
      </w:r>
      <w:r w:rsidRPr="009B2D07">
        <w:rPr>
          <w:rFonts w:ascii="Calibri" w:hAnsi="Calibri" w:cs="Calibri"/>
        </w:rPr>
        <w:t>sexua, atzerrian jaiotakoak eta biriketako lokalizazioa</w:t>
      </w:r>
      <w:r>
        <w:rPr>
          <w:rFonts w:ascii="Calibri" w:hAnsi="Calibri" w:cs="Calibri"/>
          <w:i/>
        </w:rPr>
        <w:t xml:space="preserve"> </w:t>
      </w:r>
      <w:r>
        <w:rPr>
          <w:rFonts w:ascii="Calibri" w:hAnsi="Calibri" w:cs="Calibri"/>
        </w:rPr>
        <w:t>aldagaientzat) eta Mann-</w:t>
      </w:r>
      <w:r w:rsidRPr="00390C05">
        <w:rPr>
          <w:rFonts w:ascii="Calibri" w:hAnsi="Calibri" w:cs="Calibri"/>
        </w:rPr>
        <w:t>Whitney-ren U test</w:t>
      </w:r>
      <w:r>
        <w:rPr>
          <w:rFonts w:ascii="Calibri" w:hAnsi="Calibri" w:cs="Calibri"/>
        </w:rPr>
        <w:t xml:space="preserve">a </w:t>
      </w:r>
      <w:r w:rsidRPr="001C3AD3">
        <w:rPr>
          <w:rFonts w:ascii="Calibri" w:hAnsi="Calibri" w:cs="Calibri"/>
        </w:rPr>
        <w:t xml:space="preserve">bataz bestekoen konparaketarako (adinarentzat). Datuak </w:t>
      </w:r>
      <w:r w:rsidRPr="001C3AD3">
        <w:rPr>
          <w:rFonts w:ascii="Calibri" w:hAnsi="Calibri" w:cs="Calibri"/>
          <w:i/>
        </w:rPr>
        <w:t>IBM SPSS statistic®</w:t>
      </w:r>
      <w:r w:rsidRPr="001C3AD3">
        <w:rPr>
          <w:rFonts w:ascii="Calibri" w:hAnsi="Calibri" w:cs="Calibri"/>
        </w:rPr>
        <w:t xml:space="preserve"> (25. bertsioa) (</w:t>
      </w:r>
      <w:r>
        <w:rPr>
          <w:rFonts w:ascii="Calibri" w:hAnsi="Calibri" w:cs="Calibri"/>
        </w:rPr>
        <w:t>16</w:t>
      </w:r>
      <w:r w:rsidRPr="001C3AD3">
        <w:rPr>
          <w:rFonts w:ascii="Calibri" w:hAnsi="Calibri" w:cs="Calibri"/>
        </w:rPr>
        <w:t>)</w:t>
      </w:r>
      <w:r>
        <w:rPr>
          <w:rFonts w:ascii="Calibri" w:hAnsi="Calibri" w:cs="Calibri"/>
        </w:rPr>
        <w:t xml:space="preserve"> programarekin analizatu dira, </w:t>
      </w:r>
      <w:r w:rsidRPr="00390C05">
        <w:rPr>
          <w:rFonts w:ascii="Calibri" w:hAnsi="Calibri" w:cs="Calibri"/>
          <w:i/>
        </w:rPr>
        <w:t>p&lt; 0,05</w:t>
      </w:r>
      <w:r>
        <w:rPr>
          <w:rFonts w:ascii="Calibri" w:hAnsi="Calibri" w:cs="Calibri"/>
        </w:rPr>
        <w:t xml:space="preserve"> balioak estatistikoki esanguratsuak kontsideratuz.</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sidRPr="008C19AE">
        <w:rPr>
          <w:rFonts w:ascii="Calibri" w:hAnsi="Calibri" w:cs="Calibri"/>
        </w:rPr>
        <w:t xml:space="preserve">Metodo zuzena erabiliz, eta erreferentzia moduan EAEko 2011ko biztanleria kontuan hartuta, denboraldi osorako tuberkulosiaren intzidentzia tasa estandarizatua kalkulatu da kintil </w:t>
      </w:r>
      <w:r>
        <w:rPr>
          <w:rFonts w:ascii="Calibri" w:hAnsi="Calibri" w:cs="Calibri"/>
        </w:rPr>
        <w:t>guztientzat, sexuaren araberako bereizketa eginez</w:t>
      </w:r>
      <w:r w:rsidRPr="008C19AE">
        <w:rPr>
          <w:rFonts w:ascii="Calibri" w:hAnsi="Calibri" w:cs="Calibri"/>
        </w:rPr>
        <w:t>. Ondoren, lehenengo kintila erreferentzia moduan hartuta (gabezia sozial gutxieneko taldea) tasa estandarizatuen arrazoiak eta konfiantza-tarteak</w:t>
      </w:r>
      <w:r>
        <w:rPr>
          <w:rFonts w:ascii="Calibri" w:hAnsi="Calibri" w:cs="Calibri"/>
        </w:rPr>
        <w:t xml:space="preserve"> kalkulatu dira beste kintilentzat</w:t>
      </w:r>
      <w:r w:rsidRPr="008C19AE">
        <w:rPr>
          <w:rFonts w:ascii="Calibri" w:hAnsi="Calibri" w:cs="Calibri"/>
        </w:rPr>
        <w:t xml:space="preserve">. </w:t>
      </w:r>
    </w:p>
    <w:p w:rsidR="00EA1049" w:rsidRDefault="00EA1049" w:rsidP="00CC2E2C">
      <w:pPr>
        <w:contextualSpacing/>
        <w:jc w:val="both"/>
        <w:rPr>
          <w:rFonts w:ascii="Calibri" w:hAnsi="Calibri" w:cs="Calibri"/>
        </w:rPr>
      </w:pPr>
    </w:p>
    <w:p w:rsidR="00EA1049" w:rsidRPr="008C19AE" w:rsidRDefault="00EA1049" w:rsidP="00CC2E2C">
      <w:pPr>
        <w:contextualSpacing/>
        <w:jc w:val="both"/>
        <w:rPr>
          <w:rFonts w:ascii="Calibri" w:hAnsi="Calibri" w:cs="Calibri"/>
        </w:rPr>
      </w:pPr>
      <w:r>
        <w:rPr>
          <w:rFonts w:ascii="Calibri" w:hAnsi="Calibri" w:cs="Calibri"/>
        </w:rPr>
        <w:t>Biriketako lokalizazioa zuten kasuetan, m</w:t>
      </w:r>
      <w:r w:rsidRPr="008C19AE">
        <w:rPr>
          <w:rFonts w:ascii="Calibri" w:hAnsi="Calibri" w:cs="Calibri"/>
        </w:rPr>
        <w:t>aila sozioekonomiko</w:t>
      </w:r>
      <w:r>
        <w:rPr>
          <w:rFonts w:ascii="Calibri" w:hAnsi="Calibri" w:cs="Calibri"/>
        </w:rPr>
        <w:t>a</w:t>
      </w:r>
      <w:r w:rsidRPr="008C19AE">
        <w:rPr>
          <w:rFonts w:ascii="Calibri" w:hAnsi="Calibri" w:cs="Calibri"/>
        </w:rPr>
        <w:t xml:space="preserve"> eta diagnostikoaren atzerapenaren arteko e</w:t>
      </w:r>
      <w:r>
        <w:rPr>
          <w:rFonts w:ascii="Calibri" w:hAnsi="Calibri" w:cs="Calibri"/>
        </w:rPr>
        <w:t>rlazioa ikertu da.</w:t>
      </w:r>
      <w:r w:rsidRPr="008C19AE">
        <w:rPr>
          <w:rFonts w:ascii="Calibri" w:hAnsi="Calibri" w:cs="Calibri"/>
        </w:rPr>
        <w:t xml:space="preserve"> </w:t>
      </w:r>
      <w:r>
        <w:rPr>
          <w:rFonts w:ascii="Calibri" w:hAnsi="Calibri" w:cs="Calibri"/>
        </w:rPr>
        <w:t>Horretarako, lehenik eta behin Kaplan-Meier biziraupen analisia egin da aldagai bakoitzarekin (sexua, adin-taldea eta</w:t>
      </w:r>
      <w:r w:rsidRPr="008C19AE">
        <w:rPr>
          <w:rFonts w:ascii="Calibri" w:hAnsi="Calibri" w:cs="Calibri"/>
        </w:rPr>
        <w:t xml:space="preserve"> atzerrian jaiotakoa izatea edo ez</w:t>
      </w:r>
      <w:r>
        <w:rPr>
          <w:rFonts w:ascii="Calibri" w:hAnsi="Calibri" w:cs="Calibri"/>
        </w:rPr>
        <w:t xml:space="preserve">), banan-banan diagnostikoa egiteko denborarekin duten harremana aztertzeko. Ondoren, </w:t>
      </w:r>
      <w:r w:rsidRPr="008C19AE">
        <w:rPr>
          <w:rFonts w:ascii="Calibri" w:hAnsi="Calibri" w:cs="Calibri"/>
        </w:rPr>
        <w:t>Cox-en biziraupen-analisia egin</w:t>
      </w:r>
      <w:r>
        <w:rPr>
          <w:rFonts w:ascii="Calibri" w:hAnsi="Calibri" w:cs="Calibri"/>
        </w:rPr>
        <w:t xml:space="preserve"> </w:t>
      </w:r>
      <w:r w:rsidRPr="008C19AE">
        <w:rPr>
          <w:rFonts w:ascii="Calibri" w:hAnsi="Calibri" w:cs="Calibri"/>
        </w:rPr>
        <w:t xml:space="preserve">da, </w:t>
      </w:r>
      <w:r>
        <w:rPr>
          <w:rFonts w:ascii="Calibri" w:hAnsi="Calibri" w:cs="Calibri"/>
        </w:rPr>
        <w:t>aldi berean gabezia-indizea eta aipatutako aldagaiek diagnostikoaren atzerapenean duten eragina ikertzeko.</w:t>
      </w:r>
    </w:p>
    <w:p w:rsidR="00EA1049" w:rsidRPr="008C19AE"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sidRPr="00EC637C">
        <w:rPr>
          <w:rFonts w:ascii="Calibri" w:hAnsi="Calibri" w:cs="Calibri"/>
        </w:rPr>
        <w:t>Bestalde, biriketako tuberkulosia izan zuten kasuetan</w:t>
      </w:r>
      <w:r>
        <w:rPr>
          <w:rFonts w:ascii="Calibri" w:hAnsi="Calibri" w:cs="Calibri"/>
        </w:rPr>
        <w:t xml:space="preserve"> ere, khi karratuaren probaren bitartez, aldagai desberdinen eta tratamenduaren betetzearen arteko erlazioa aztertu da; ostean, erlazioa erakutsi duten aldagaiak aintzat hartuta, erregresio logistikoaren bidez, </w:t>
      </w:r>
      <w:r w:rsidRPr="00EC637C">
        <w:rPr>
          <w:rFonts w:ascii="Calibri" w:hAnsi="Calibri" w:cs="Calibri"/>
        </w:rPr>
        <w:t>gabezia-indizea eta tratamenduaren</w:t>
      </w:r>
      <w:r>
        <w:rPr>
          <w:rFonts w:ascii="Calibri" w:hAnsi="Calibri" w:cs="Calibri"/>
        </w:rPr>
        <w:t xml:space="preserve"> betetzearen arteko erlazioa ikertzeko.</w:t>
      </w:r>
      <w:r w:rsidRPr="00BA1FBA">
        <w:rPr>
          <w:rFonts w:ascii="Calibri" w:hAnsi="Calibri" w:cs="Calibri"/>
        </w:rPr>
        <w:t xml:space="preserve"> </w:t>
      </w:r>
      <w:r>
        <w:rPr>
          <w:rFonts w:ascii="Calibri" w:hAnsi="Calibri" w:cs="Calibri"/>
        </w:rPr>
        <w:t xml:space="preserve">Analisia burutzeko hildako 58 pazienteak eta eragin desiragaitzak direla-eta tratamendua hartzeari utzi zioten bi pertsonak kendu dira. Ondoren, bost gabezia-indizeak hiru taldetan birkodifikatu dira, tratamendua bete ez dutenetan lagin kopuru txikia dela eta. Modu honetan, 1. eta 2. gabezia-indizeak 1. taldean multzokatu dira; 4. eta 5. indizeak aldiz, 3. taldean. </w:t>
      </w:r>
    </w:p>
    <w:p w:rsidR="00EA1049" w:rsidRDefault="00EA1049" w:rsidP="00CC2E2C">
      <w:pPr>
        <w:contextualSpacing/>
        <w:jc w:val="both"/>
        <w:rPr>
          <w:rFonts w:ascii="Calibri" w:hAnsi="Calibri" w:cs="Calibri"/>
        </w:rPr>
      </w:pPr>
    </w:p>
    <w:p w:rsidR="00EA1049" w:rsidRPr="008C19AE" w:rsidRDefault="00EA1049" w:rsidP="00CC2E2C">
      <w:pPr>
        <w:contextualSpacing/>
        <w:jc w:val="both"/>
        <w:rPr>
          <w:rFonts w:ascii="Calibri" w:hAnsi="Calibri" w:cs="Calibri"/>
        </w:rPr>
      </w:pPr>
      <w:r>
        <w:rPr>
          <w:rFonts w:ascii="Calibri" w:hAnsi="Calibri" w:cs="Calibri"/>
        </w:rPr>
        <w:t xml:space="preserve">2003-2017 denboraldian Gipuzkoako </w:t>
      </w:r>
      <w:r w:rsidRPr="008C19AE">
        <w:rPr>
          <w:rFonts w:ascii="Calibri" w:hAnsi="Calibri" w:cs="Calibri"/>
        </w:rPr>
        <w:t xml:space="preserve">tuberkulosiaren intzidentzia tasen eboluzioa aztertzeko, estandarizazio zuzenaren bitartez adinaren arabera doitutako tasak kalkulatu dira urte bakoitzeko eta bost gabezia-indize desberdinentzako. Populazio estandar moduan, 2011ko EAEko datuak erabili dira, eta erregresio </w:t>
      </w:r>
      <w:r>
        <w:rPr>
          <w:rFonts w:ascii="Calibri" w:hAnsi="Calibri" w:cs="Calibri"/>
        </w:rPr>
        <w:t>ereduen</w:t>
      </w:r>
      <w:r w:rsidRPr="008C19AE">
        <w:rPr>
          <w:rFonts w:ascii="Calibri" w:hAnsi="Calibri" w:cs="Calibri"/>
        </w:rPr>
        <w:t xml:space="preserve"> bitartez (</w:t>
      </w:r>
      <w:r w:rsidRPr="00EC637C">
        <w:rPr>
          <w:rFonts w:ascii="Calibri" w:hAnsi="Calibri" w:cs="Calibri"/>
          <w:i/>
        </w:rPr>
        <w:t>Joinpoint</w:t>
      </w:r>
      <w:r w:rsidRPr="008C19AE">
        <w:rPr>
          <w:rFonts w:ascii="Calibri" w:hAnsi="Calibri" w:cs="Calibri"/>
        </w:rPr>
        <w:t xml:space="preserve">) intzidentzia tasen joera aztertu eta urteko aldaketa portzentaia </w:t>
      </w:r>
      <w:r>
        <w:rPr>
          <w:rFonts w:ascii="Calibri" w:hAnsi="Calibri" w:cs="Calibri"/>
        </w:rPr>
        <w:t xml:space="preserve">(UAP) </w:t>
      </w:r>
      <w:r w:rsidRPr="008C19AE">
        <w:rPr>
          <w:rFonts w:ascii="Calibri" w:hAnsi="Calibri" w:cs="Calibri"/>
        </w:rPr>
        <w:t>kalkulatu da (</w:t>
      </w:r>
      <w:r>
        <w:rPr>
          <w:rFonts w:ascii="Calibri" w:hAnsi="Calibri" w:cs="Calibri"/>
        </w:rPr>
        <w:t>17,18</w:t>
      </w:r>
      <w:r w:rsidRPr="008C19AE">
        <w:rPr>
          <w:rFonts w:ascii="Calibri" w:hAnsi="Calibri" w:cs="Calibri"/>
        </w:rPr>
        <w:t xml:space="preserve">). </w:t>
      </w:r>
    </w:p>
    <w:p w:rsidR="00EA1049" w:rsidRDefault="00EA1049" w:rsidP="00CC2E2C">
      <w:pPr>
        <w:contextualSpacing/>
        <w:jc w:val="both"/>
        <w:rPr>
          <w:rFonts w:ascii="Calibri" w:hAnsi="Calibri" w:cs="Calibri"/>
          <w:b/>
        </w:rPr>
      </w:pPr>
      <w:r w:rsidRPr="00D22CAF">
        <w:rPr>
          <w:rFonts w:ascii="Calibri" w:hAnsi="Calibri" w:cs="Calibri"/>
          <w:b/>
        </w:rPr>
        <w:lastRenderedPageBreak/>
        <w:t>Emaitzak</w:t>
      </w:r>
    </w:p>
    <w:p w:rsidR="00EA1049" w:rsidRDefault="00EA1049" w:rsidP="00CC2E2C">
      <w:pPr>
        <w:contextualSpacing/>
        <w:jc w:val="both"/>
        <w:rPr>
          <w:rFonts w:ascii="Calibri" w:hAnsi="Calibri" w:cs="Calibri"/>
          <w:b/>
        </w:rPr>
      </w:pPr>
    </w:p>
    <w:p w:rsidR="00EA1049" w:rsidRPr="008C19AE" w:rsidRDefault="00EA1049" w:rsidP="00CC2E2C">
      <w:pPr>
        <w:contextualSpacing/>
        <w:jc w:val="both"/>
        <w:rPr>
          <w:rFonts w:ascii="Calibri" w:hAnsi="Calibri" w:cs="Calibri"/>
        </w:rPr>
      </w:pPr>
      <w:r w:rsidRPr="008C19AE">
        <w:rPr>
          <w:rFonts w:ascii="Calibri" w:hAnsi="Calibri" w:cs="Calibri"/>
        </w:rPr>
        <w:t xml:space="preserve">2010-2017 denboraldian 991 tuberkulosi kasu erregistratu ziren Gipuzkoan. Horietatik 557 gizonezkoak izan ziren eta 434, aldiz, emakumeak. Era honetan, urteko batez besteko tasa gordina 17,1/100.000 biztanleko izan zen populazio orokorrerako, 19,6/10.000 gizonetan eta 14,7/100.000 emakumeetan. </w:t>
      </w:r>
    </w:p>
    <w:p w:rsidR="00EA1049" w:rsidRPr="008C19AE" w:rsidRDefault="00EA1049" w:rsidP="00CC2E2C">
      <w:pPr>
        <w:contextualSpacing/>
        <w:jc w:val="both"/>
        <w:rPr>
          <w:rFonts w:ascii="Calibri" w:hAnsi="Calibri" w:cs="Calibri"/>
        </w:rPr>
      </w:pPr>
    </w:p>
    <w:p w:rsidR="00EA1049" w:rsidRPr="00DB17B2" w:rsidRDefault="00EA1049" w:rsidP="00CC2E2C">
      <w:pPr>
        <w:contextualSpacing/>
        <w:jc w:val="both"/>
        <w:rPr>
          <w:rFonts w:ascii="Calibri" w:hAnsi="Calibri" w:cs="Calibri"/>
        </w:rPr>
      </w:pPr>
      <w:r w:rsidRPr="00DB17B2">
        <w:rPr>
          <w:rFonts w:ascii="Calibri" w:hAnsi="Calibri" w:cs="Calibri"/>
        </w:rPr>
        <w:t>Kasuen %</w:t>
      </w:r>
      <w:r>
        <w:rPr>
          <w:rFonts w:ascii="Calibri" w:hAnsi="Calibri" w:cs="Calibri"/>
        </w:rPr>
        <w:t xml:space="preserve"> </w:t>
      </w:r>
      <w:r w:rsidRPr="00DB17B2">
        <w:rPr>
          <w:rFonts w:ascii="Calibri" w:hAnsi="Calibri" w:cs="Calibri"/>
        </w:rPr>
        <w:t xml:space="preserve">99,8ri (989/991) 2011ko erroldako sekzio bat esleitu ahal izan zitzaion. Esleipena ABGen </w:t>
      </w:r>
      <w:r>
        <w:rPr>
          <w:rFonts w:ascii="Calibri" w:hAnsi="Calibri" w:cs="Calibri"/>
        </w:rPr>
        <w:t>erregistrotik</w:t>
      </w:r>
      <w:r w:rsidRPr="00DB17B2">
        <w:rPr>
          <w:rFonts w:ascii="Calibri" w:hAnsi="Calibri" w:cs="Calibri"/>
        </w:rPr>
        <w:t xml:space="preserve"> lortutako geo</w:t>
      </w:r>
      <w:r>
        <w:rPr>
          <w:rFonts w:ascii="Calibri" w:hAnsi="Calibri" w:cs="Calibri"/>
        </w:rPr>
        <w:t>e</w:t>
      </w:r>
      <w:r w:rsidRPr="00DB17B2">
        <w:rPr>
          <w:rFonts w:ascii="Calibri" w:hAnsi="Calibri" w:cs="Calibri"/>
        </w:rPr>
        <w:t xml:space="preserve">rreferentziazio bidez burutu zen 895 kasutan. Beste 85 kasutan informazioa eskuz bilatu zen eta 9 pertsonari 5. </w:t>
      </w:r>
      <w:r>
        <w:rPr>
          <w:rFonts w:ascii="Calibri" w:hAnsi="Calibri" w:cs="Calibri"/>
        </w:rPr>
        <w:t>gabezia-maila</w:t>
      </w:r>
      <w:r w:rsidRPr="00DB17B2">
        <w:rPr>
          <w:rFonts w:ascii="Calibri" w:hAnsi="Calibri" w:cs="Calibri"/>
        </w:rPr>
        <w:t xml:space="preserve"> egokitu zitzaien, notifikazioan agertzen zen bizilekuaren ezaugarriak zirela eta (</w:t>
      </w:r>
      <w:r>
        <w:rPr>
          <w:rFonts w:ascii="Calibri" w:hAnsi="Calibri" w:cs="Calibri"/>
        </w:rPr>
        <w:t>eraikin hutsak</w:t>
      </w:r>
      <w:r w:rsidRPr="00DB17B2">
        <w:rPr>
          <w:rFonts w:ascii="Calibri" w:hAnsi="Calibri" w:cs="Calibri"/>
        </w:rPr>
        <w:t xml:space="preserve">, kalea edota kokaleku ezegonkorra). </w:t>
      </w:r>
    </w:p>
    <w:p w:rsidR="00EA1049" w:rsidRPr="00DB17B2"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sidRPr="00DB17B2">
        <w:rPr>
          <w:rFonts w:ascii="Calibri" w:hAnsi="Calibri" w:cs="Calibri"/>
        </w:rPr>
        <w:t xml:space="preserve">Maila sozioekonomikoari buruzko informazioa lortu zen 989 kasuetatik 168 (% 17,0) 1. gabezia-mailan kokatu ziren, 252 (% 25,4) 2. mailan, 260 (% 26,2) 3. mailan, 192 (% 19,4) 4. mailan eta beste 117ak (% 11,8a) 5. gabezia-mailan. Kasuen ezaugarriak, gabezia-mailaren arabera aztertuta, </w:t>
      </w:r>
      <w:r w:rsidRPr="00A005F1">
        <w:rPr>
          <w:rFonts w:ascii="Calibri" w:hAnsi="Calibri" w:cs="Calibri"/>
        </w:rPr>
        <w:t>1. taulan</w:t>
      </w:r>
      <w:r w:rsidRPr="00DB17B2">
        <w:rPr>
          <w:rFonts w:ascii="Calibri" w:hAnsi="Calibri" w:cs="Calibri"/>
        </w:rPr>
        <w:t xml:space="preserve"> aurkezten dira. </w:t>
      </w:r>
      <w:r>
        <w:rPr>
          <w:rFonts w:ascii="Calibri" w:hAnsi="Calibri" w:cs="Calibri"/>
        </w:rPr>
        <w:t>Ikus daitekeen moduan, ez dago desberdintasun esanguratsurik aztertutako lau aldagaien eta gabezia-mailen artean.</w:t>
      </w:r>
    </w:p>
    <w:p w:rsidR="00EA1049" w:rsidRDefault="00EA1049" w:rsidP="00CC2E2C">
      <w:pPr>
        <w:contextualSpacing/>
        <w:jc w:val="both"/>
        <w:rPr>
          <w:rFonts w:ascii="Calibri" w:hAnsi="Calibri" w:cs="Calibri"/>
        </w:rPr>
      </w:pPr>
    </w:p>
    <w:p w:rsidR="00EA1049" w:rsidRPr="00BC12FE" w:rsidRDefault="00EA1049" w:rsidP="00CC2E2C">
      <w:pPr>
        <w:contextualSpacing/>
        <w:jc w:val="both"/>
        <w:rPr>
          <w:rFonts w:ascii="Calibri" w:hAnsi="Calibri" w:cs="Calibri"/>
          <w:b/>
          <w:sz w:val="20"/>
        </w:rPr>
      </w:pPr>
      <w:r w:rsidRPr="00BC12FE">
        <w:rPr>
          <w:rFonts w:ascii="Calibri" w:hAnsi="Calibri" w:cs="Calibri"/>
          <w:b/>
          <w:sz w:val="20"/>
        </w:rPr>
        <w:t xml:space="preserve">1. taula: </w:t>
      </w:r>
      <w:r w:rsidRPr="00BC12FE">
        <w:rPr>
          <w:rFonts w:ascii="Calibri" w:hAnsi="Calibri" w:cs="Calibri"/>
          <w:sz w:val="20"/>
        </w:rPr>
        <w:t>Tuberkulosi kasuen ezaugarriak gabezia-mailaren arabera. Gipuzkoa, 2010-2017.</w:t>
      </w:r>
    </w:p>
    <w:tbl>
      <w:tblPr>
        <w:tblW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64"/>
        <w:gridCol w:w="935"/>
        <w:gridCol w:w="935"/>
        <w:gridCol w:w="935"/>
        <w:gridCol w:w="935"/>
        <w:gridCol w:w="935"/>
        <w:gridCol w:w="850"/>
      </w:tblGrid>
      <w:tr w:rsidR="00EA1049" w:rsidRPr="00F4136C" w:rsidTr="008470AA">
        <w:tc>
          <w:tcPr>
            <w:tcW w:w="1984" w:type="dxa"/>
            <w:tcBorders>
              <w:top w:val="single" w:sz="4" w:space="0" w:color="auto"/>
              <w:left w:val="nil"/>
              <w:bottom w:val="single" w:sz="4" w:space="0" w:color="auto"/>
              <w:right w:val="nil"/>
            </w:tcBorders>
            <w:shd w:val="clear" w:color="auto" w:fill="auto"/>
          </w:tcPr>
          <w:p w:rsidR="00EA1049" w:rsidRPr="009A0DDA" w:rsidRDefault="00EA1049" w:rsidP="00CC2E2C">
            <w:pPr>
              <w:contextualSpacing/>
              <w:jc w:val="both"/>
              <w:rPr>
                <w:rFonts w:ascii="Calibri" w:hAnsi="Calibri" w:cs="Calibri"/>
                <w:sz w:val="16"/>
                <w:szCs w:val="16"/>
              </w:rPr>
            </w:pPr>
          </w:p>
        </w:tc>
        <w:tc>
          <w:tcPr>
            <w:tcW w:w="964" w:type="dxa"/>
            <w:tcBorders>
              <w:top w:val="single" w:sz="4" w:space="0" w:color="auto"/>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b/>
                <w:sz w:val="16"/>
                <w:szCs w:val="16"/>
              </w:rPr>
            </w:pPr>
          </w:p>
        </w:tc>
        <w:tc>
          <w:tcPr>
            <w:tcW w:w="4675" w:type="dxa"/>
            <w:gridSpan w:val="5"/>
            <w:tcBorders>
              <w:top w:val="single" w:sz="4" w:space="0" w:color="auto"/>
              <w:left w:val="nil"/>
              <w:bottom w:val="single" w:sz="4" w:space="0" w:color="auto"/>
              <w:right w:val="nil"/>
            </w:tcBorders>
            <w:shd w:val="clear" w:color="auto" w:fill="auto"/>
            <w:vAlign w:val="center"/>
          </w:tcPr>
          <w:p w:rsidR="00EA1049" w:rsidRPr="00827388" w:rsidRDefault="00EA1049" w:rsidP="00CC2E2C">
            <w:pPr>
              <w:contextualSpacing/>
              <w:jc w:val="center"/>
              <w:rPr>
                <w:rFonts w:ascii="Calibri" w:hAnsi="Calibri" w:cs="Calibri"/>
                <w:b/>
                <w:sz w:val="18"/>
                <w:szCs w:val="18"/>
              </w:rPr>
            </w:pPr>
            <w:r w:rsidRPr="00827388">
              <w:rPr>
                <w:rFonts w:ascii="Calibri" w:hAnsi="Calibri" w:cs="Calibri"/>
                <w:b/>
                <w:sz w:val="18"/>
                <w:szCs w:val="18"/>
              </w:rPr>
              <w:t>Gabezia-maila</w:t>
            </w:r>
          </w:p>
        </w:tc>
        <w:tc>
          <w:tcPr>
            <w:tcW w:w="850" w:type="dxa"/>
            <w:tcBorders>
              <w:top w:val="single" w:sz="4" w:space="0" w:color="auto"/>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b/>
                <w:sz w:val="16"/>
                <w:szCs w:val="16"/>
              </w:rPr>
            </w:pPr>
          </w:p>
        </w:tc>
      </w:tr>
      <w:tr w:rsidR="00EA1049" w:rsidRPr="00F4136C" w:rsidTr="008470AA">
        <w:tc>
          <w:tcPr>
            <w:tcW w:w="1984" w:type="dxa"/>
            <w:tcBorders>
              <w:top w:val="nil"/>
              <w:left w:val="nil"/>
              <w:bottom w:val="single" w:sz="4" w:space="0" w:color="auto"/>
              <w:right w:val="nil"/>
            </w:tcBorders>
            <w:shd w:val="clear" w:color="auto" w:fill="auto"/>
          </w:tcPr>
          <w:p w:rsidR="00EA1049" w:rsidRPr="009A0DDA" w:rsidRDefault="00EA1049" w:rsidP="00CC2E2C">
            <w:pPr>
              <w:contextualSpacing/>
              <w:jc w:val="both"/>
              <w:rPr>
                <w:rFonts w:ascii="Calibri" w:hAnsi="Calibri" w:cs="Calibri"/>
                <w:sz w:val="16"/>
                <w:szCs w:val="16"/>
              </w:rPr>
            </w:pPr>
          </w:p>
        </w:tc>
        <w:tc>
          <w:tcPr>
            <w:tcW w:w="964"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b/>
                <w:sz w:val="16"/>
                <w:szCs w:val="16"/>
              </w:rPr>
            </w:pPr>
            <w:r w:rsidRPr="009A0DDA">
              <w:rPr>
                <w:rFonts w:ascii="Calibri" w:hAnsi="Calibri" w:cs="Calibri"/>
                <w:b/>
                <w:sz w:val="16"/>
                <w:szCs w:val="16"/>
              </w:rPr>
              <w:t>Totala (%)</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b/>
                <w:sz w:val="16"/>
                <w:szCs w:val="16"/>
              </w:rPr>
            </w:pPr>
            <w:r w:rsidRPr="009A0DDA">
              <w:rPr>
                <w:rFonts w:ascii="Calibri" w:hAnsi="Calibri" w:cs="Calibri"/>
                <w:b/>
                <w:sz w:val="16"/>
                <w:szCs w:val="16"/>
              </w:rPr>
              <w:t>1</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b/>
                <w:sz w:val="16"/>
                <w:szCs w:val="16"/>
              </w:rPr>
            </w:pPr>
            <w:r w:rsidRPr="009A0DDA">
              <w:rPr>
                <w:rFonts w:ascii="Calibri" w:hAnsi="Calibri" w:cs="Calibri"/>
                <w:b/>
                <w:sz w:val="16"/>
                <w:szCs w:val="16"/>
              </w:rPr>
              <w:t>2</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b/>
                <w:sz w:val="16"/>
                <w:szCs w:val="16"/>
              </w:rPr>
            </w:pPr>
            <w:r w:rsidRPr="009A0DDA">
              <w:rPr>
                <w:rFonts w:ascii="Calibri" w:hAnsi="Calibri" w:cs="Calibri"/>
                <w:b/>
                <w:sz w:val="16"/>
                <w:szCs w:val="16"/>
              </w:rPr>
              <w:t>3</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b/>
                <w:sz w:val="16"/>
                <w:szCs w:val="16"/>
              </w:rPr>
            </w:pPr>
            <w:r w:rsidRPr="009A0DDA">
              <w:rPr>
                <w:rFonts w:ascii="Calibri" w:hAnsi="Calibri" w:cs="Calibri"/>
                <w:b/>
                <w:sz w:val="16"/>
                <w:szCs w:val="16"/>
              </w:rPr>
              <w:t>4</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b/>
                <w:sz w:val="16"/>
                <w:szCs w:val="16"/>
              </w:rPr>
            </w:pPr>
            <w:r w:rsidRPr="009A0DDA">
              <w:rPr>
                <w:rFonts w:ascii="Calibri" w:hAnsi="Calibri" w:cs="Calibri"/>
                <w:b/>
                <w:sz w:val="16"/>
                <w:szCs w:val="16"/>
              </w:rPr>
              <w:t>5</w:t>
            </w:r>
          </w:p>
        </w:tc>
        <w:tc>
          <w:tcPr>
            <w:tcW w:w="850"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b/>
                <w:sz w:val="16"/>
                <w:szCs w:val="16"/>
              </w:rPr>
            </w:pPr>
            <w:r>
              <w:rPr>
                <w:rFonts w:ascii="Calibri" w:hAnsi="Calibri" w:cs="Calibri"/>
                <w:b/>
                <w:sz w:val="16"/>
                <w:szCs w:val="16"/>
              </w:rPr>
              <w:t>p**</w:t>
            </w:r>
          </w:p>
        </w:tc>
      </w:tr>
      <w:tr w:rsidR="00EA1049" w:rsidRPr="00F4136C" w:rsidTr="008470AA">
        <w:tc>
          <w:tcPr>
            <w:tcW w:w="1984" w:type="dxa"/>
            <w:tcBorders>
              <w:left w:val="nil"/>
              <w:bottom w:val="nil"/>
              <w:right w:val="single" w:sz="4" w:space="0" w:color="auto"/>
            </w:tcBorders>
            <w:shd w:val="clear" w:color="auto" w:fill="F2F2F2"/>
          </w:tcPr>
          <w:p w:rsidR="00EA1049" w:rsidRPr="009A0DDA" w:rsidRDefault="00EA1049" w:rsidP="00CC2E2C">
            <w:pPr>
              <w:contextualSpacing/>
              <w:jc w:val="both"/>
              <w:rPr>
                <w:rFonts w:ascii="Calibri" w:hAnsi="Calibri" w:cs="Calibri"/>
                <w:sz w:val="16"/>
                <w:szCs w:val="16"/>
              </w:rPr>
            </w:pPr>
            <w:r w:rsidRPr="009A0DDA">
              <w:rPr>
                <w:rFonts w:ascii="Calibri" w:hAnsi="Calibri" w:cs="Calibri"/>
                <w:b/>
                <w:sz w:val="16"/>
                <w:szCs w:val="16"/>
              </w:rPr>
              <w:t>Sexua</w:t>
            </w:r>
          </w:p>
        </w:tc>
        <w:tc>
          <w:tcPr>
            <w:tcW w:w="964" w:type="dxa"/>
            <w:tcBorders>
              <w:left w:val="single" w:sz="4" w:space="0" w:color="auto"/>
              <w:bottom w:val="nil"/>
              <w:right w:val="single" w:sz="4" w:space="0" w:color="auto"/>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left w:val="single" w:sz="4" w:space="0" w:color="auto"/>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left w:val="nil"/>
              <w:bottom w:val="nil"/>
              <w:right w:val="single" w:sz="4" w:space="0" w:color="auto"/>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850" w:type="dxa"/>
            <w:tcBorders>
              <w:left w:val="single" w:sz="4" w:space="0" w:color="auto"/>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0,112</w:t>
            </w:r>
          </w:p>
        </w:tc>
      </w:tr>
      <w:tr w:rsidR="00EA1049" w:rsidRPr="00F4136C" w:rsidTr="008470AA">
        <w:tc>
          <w:tcPr>
            <w:tcW w:w="1984" w:type="dxa"/>
            <w:tcBorders>
              <w:top w:val="nil"/>
              <w:left w:val="nil"/>
              <w:bottom w:val="nil"/>
              <w:right w:val="single" w:sz="4" w:space="0" w:color="auto"/>
            </w:tcBorders>
            <w:shd w:val="clear" w:color="auto" w:fill="auto"/>
          </w:tcPr>
          <w:p w:rsidR="00EA1049" w:rsidRPr="009A0DDA" w:rsidRDefault="00EA1049" w:rsidP="00CC2E2C">
            <w:pPr>
              <w:contextualSpacing/>
              <w:jc w:val="both"/>
              <w:rPr>
                <w:rFonts w:ascii="Calibri" w:hAnsi="Calibri" w:cs="Calibri"/>
                <w:sz w:val="16"/>
                <w:szCs w:val="16"/>
              </w:rPr>
            </w:pPr>
            <w:r w:rsidRPr="009A0DDA">
              <w:rPr>
                <w:rFonts w:ascii="Calibri" w:hAnsi="Calibri" w:cs="Calibri"/>
                <w:sz w:val="16"/>
                <w:szCs w:val="16"/>
              </w:rPr>
              <w:t xml:space="preserve">  Gizona</w:t>
            </w:r>
          </w:p>
        </w:tc>
        <w:tc>
          <w:tcPr>
            <w:tcW w:w="964" w:type="dxa"/>
            <w:tcBorders>
              <w:top w:val="nil"/>
              <w:left w:val="single" w:sz="4" w:space="0" w:color="auto"/>
              <w:bottom w:val="nil"/>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556 (56,2)</w:t>
            </w:r>
          </w:p>
        </w:tc>
        <w:tc>
          <w:tcPr>
            <w:tcW w:w="935" w:type="dxa"/>
            <w:tcBorders>
              <w:top w:val="nil"/>
              <w:left w:val="single" w:sz="4" w:space="0" w:color="auto"/>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91 (54,2)</w:t>
            </w:r>
          </w:p>
        </w:tc>
        <w:tc>
          <w:tcPr>
            <w:tcW w:w="935" w:type="dxa"/>
            <w:tcBorders>
              <w:top w:val="nil"/>
              <w:left w:val="nil"/>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139 (55,2)</w:t>
            </w:r>
          </w:p>
        </w:tc>
        <w:tc>
          <w:tcPr>
            <w:tcW w:w="935" w:type="dxa"/>
            <w:tcBorders>
              <w:top w:val="nil"/>
              <w:left w:val="nil"/>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135 (51,9)</w:t>
            </w:r>
          </w:p>
        </w:tc>
        <w:tc>
          <w:tcPr>
            <w:tcW w:w="935" w:type="dxa"/>
            <w:tcBorders>
              <w:top w:val="nil"/>
              <w:left w:val="nil"/>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114 (59,4)</w:t>
            </w:r>
          </w:p>
        </w:tc>
        <w:tc>
          <w:tcPr>
            <w:tcW w:w="935" w:type="dxa"/>
            <w:tcBorders>
              <w:top w:val="nil"/>
              <w:left w:val="nil"/>
              <w:bottom w:val="nil"/>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77 (65,8)</w:t>
            </w:r>
          </w:p>
        </w:tc>
        <w:tc>
          <w:tcPr>
            <w:tcW w:w="850" w:type="dxa"/>
            <w:tcBorders>
              <w:top w:val="nil"/>
              <w:left w:val="single" w:sz="4" w:space="0" w:color="auto"/>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p>
        </w:tc>
      </w:tr>
      <w:tr w:rsidR="00EA1049" w:rsidRPr="00F4136C" w:rsidTr="008470AA">
        <w:tc>
          <w:tcPr>
            <w:tcW w:w="1984" w:type="dxa"/>
            <w:tcBorders>
              <w:top w:val="nil"/>
              <w:left w:val="nil"/>
              <w:bottom w:val="single" w:sz="4" w:space="0" w:color="auto"/>
              <w:right w:val="single" w:sz="4" w:space="0" w:color="auto"/>
            </w:tcBorders>
            <w:shd w:val="clear" w:color="auto" w:fill="auto"/>
          </w:tcPr>
          <w:p w:rsidR="00EA1049" w:rsidRPr="009A0DDA" w:rsidRDefault="00EA1049" w:rsidP="00CC2E2C">
            <w:pPr>
              <w:contextualSpacing/>
              <w:jc w:val="both"/>
              <w:rPr>
                <w:rFonts w:ascii="Calibri" w:hAnsi="Calibri" w:cs="Calibri"/>
                <w:sz w:val="16"/>
                <w:szCs w:val="16"/>
              </w:rPr>
            </w:pPr>
            <w:r w:rsidRPr="009A0DDA">
              <w:rPr>
                <w:rFonts w:ascii="Calibri" w:hAnsi="Calibri" w:cs="Calibri"/>
                <w:sz w:val="16"/>
                <w:szCs w:val="16"/>
              </w:rPr>
              <w:t xml:space="preserve">  Emakumea</w:t>
            </w:r>
          </w:p>
        </w:tc>
        <w:tc>
          <w:tcPr>
            <w:tcW w:w="964" w:type="dxa"/>
            <w:tcBorders>
              <w:top w:val="nil"/>
              <w:left w:val="single" w:sz="4" w:space="0" w:color="auto"/>
              <w:bottom w:val="single" w:sz="4" w:space="0" w:color="auto"/>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433 (43,8)</w:t>
            </w:r>
          </w:p>
        </w:tc>
        <w:tc>
          <w:tcPr>
            <w:tcW w:w="935" w:type="dxa"/>
            <w:tcBorders>
              <w:top w:val="nil"/>
              <w:left w:val="single" w:sz="4" w:space="0" w:color="auto"/>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77 (45,8)</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113 (44,8)</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125 (48,1)</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78 (40,6)</w:t>
            </w:r>
          </w:p>
        </w:tc>
        <w:tc>
          <w:tcPr>
            <w:tcW w:w="935" w:type="dxa"/>
            <w:tcBorders>
              <w:top w:val="nil"/>
              <w:left w:val="nil"/>
              <w:bottom w:val="single" w:sz="4" w:space="0" w:color="auto"/>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40 (34,2)</w:t>
            </w:r>
          </w:p>
        </w:tc>
        <w:tc>
          <w:tcPr>
            <w:tcW w:w="850" w:type="dxa"/>
            <w:tcBorders>
              <w:top w:val="nil"/>
              <w:left w:val="single" w:sz="4" w:space="0" w:color="auto"/>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p>
        </w:tc>
      </w:tr>
      <w:tr w:rsidR="00EA1049" w:rsidRPr="00F4136C" w:rsidTr="008470AA">
        <w:tc>
          <w:tcPr>
            <w:tcW w:w="1984" w:type="dxa"/>
            <w:tcBorders>
              <w:top w:val="single" w:sz="4" w:space="0" w:color="auto"/>
              <w:left w:val="nil"/>
              <w:bottom w:val="nil"/>
              <w:right w:val="single" w:sz="4" w:space="0" w:color="auto"/>
            </w:tcBorders>
            <w:shd w:val="clear" w:color="auto" w:fill="F2F2F2"/>
          </w:tcPr>
          <w:p w:rsidR="00EA1049" w:rsidRPr="009A0DDA" w:rsidRDefault="00EA1049" w:rsidP="00CC2E2C">
            <w:pPr>
              <w:contextualSpacing/>
              <w:jc w:val="both"/>
              <w:rPr>
                <w:rFonts w:ascii="Calibri" w:hAnsi="Calibri" w:cs="Calibri"/>
                <w:b/>
                <w:sz w:val="16"/>
                <w:szCs w:val="16"/>
              </w:rPr>
            </w:pPr>
            <w:r w:rsidRPr="009A0DDA">
              <w:rPr>
                <w:rFonts w:ascii="Calibri" w:hAnsi="Calibri" w:cs="Calibri"/>
                <w:b/>
                <w:sz w:val="16"/>
                <w:szCs w:val="16"/>
              </w:rPr>
              <w:t>Atzerrian jaioa</w:t>
            </w:r>
          </w:p>
        </w:tc>
        <w:tc>
          <w:tcPr>
            <w:tcW w:w="964" w:type="dxa"/>
            <w:tcBorders>
              <w:top w:val="single" w:sz="4" w:space="0" w:color="auto"/>
              <w:left w:val="single" w:sz="4" w:space="0" w:color="auto"/>
              <w:bottom w:val="nil"/>
              <w:right w:val="single" w:sz="4" w:space="0" w:color="auto"/>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single" w:sz="4" w:space="0" w:color="auto"/>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single" w:sz="4" w:space="0" w:color="auto"/>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850" w:type="dxa"/>
            <w:tcBorders>
              <w:top w:val="single" w:sz="4" w:space="0" w:color="auto"/>
              <w:left w:val="single" w:sz="4" w:space="0" w:color="auto"/>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0,134</w:t>
            </w:r>
          </w:p>
        </w:tc>
      </w:tr>
      <w:tr w:rsidR="00EA1049" w:rsidRPr="00F4136C" w:rsidTr="008470AA">
        <w:tc>
          <w:tcPr>
            <w:tcW w:w="1984" w:type="dxa"/>
            <w:tcBorders>
              <w:top w:val="nil"/>
              <w:left w:val="nil"/>
              <w:bottom w:val="nil"/>
              <w:right w:val="single" w:sz="4" w:space="0" w:color="auto"/>
            </w:tcBorders>
            <w:shd w:val="clear" w:color="auto" w:fill="auto"/>
          </w:tcPr>
          <w:p w:rsidR="00EA1049" w:rsidRPr="009A0DDA" w:rsidRDefault="00EA1049" w:rsidP="00CC2E2C">
            <w:pPr>
              <w:contextualSpacing/>
              <w:jc w:val="both"/>
              <w:rPr>
                <w:rFonts w:ascii="Calibri" w:hAnsi="Calibri" w:cs="Calibri"/>
                <w:sz w:val="16"/>
                <w:szCs w:val="16"/>
              </w:rPr>
            </w:pPr>
            <w:r w:rsidRPr="009A0DDA">
              <w:rPr>
                <w:rFonts w:ascii="Calibri" w:hAnsi="Calibri" w:cs="Calibri"/>
                <w:sz w:val="16"/>
                <w:szCs w:val="16"/>
              </w:rPr>
              <w:t xml:space="preserve">  Ez</w:t>
            </w:r>
          </w:p>
        </w:tc>
        <w:tc>
          <w:tcPr>
            <w:tcW w:w="964" w:type="dxa"/>
            <w:tcBorders>
              <w:top w:val="nil"/>
              <w:left w:val="single" w:sz="4" w:space="0" w:color="auto"/>
              <w:bottom w:val="nil"/>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763 (77,1)</w:t>
            </w:r>
          </w:p>
        </w:tc>
        <w:tc>
          <w:tcPr>
            <w:tcW w:w="935" w:type="dxa"/>
            <w:tcBorders>
              <w:top w:val="nil"/>
              <w:left w:val="single" w:sz="4" w:space="0" w:color="auto"/>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137 (81,5)</w:t>
            </w:r>
          </w:p>
        </w:tc>
        <w:tc>
          <w:tcPr>
            <w:tcW w:w="935" w:type="dxa"/>
            <w:tcBorders>
              <w:top w:val="nil"/>
              <w:left w:val="nil"/>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203 (80,6)</w:t>
            </w:r>
          </w:p>
        </w:tc>
        <w:tc>
          <w:tcPr>
            <w:tcW w:w="935" w:type="dxa"/>
            <w:tcBorders>
              <w:top w:val="nil"/>
              <w:left w:val="nil"/>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195 (75,0)</w:t>
            </w:r>
          </w:p>
        </w:tc>
        <w:tc>
          <w:tcPr>
            <w:tcW w:w="935" w:type="dxa"/>
            <w:tcBorders>
              <w:top w:val="nil"/>
              <w:left w:val="nil"/>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145 (75,5)</w:t>
            </w:r>
          </w:p>
        </w:tc>
        <w:tc>
          <w:tcPr>
            <w:tcW w:w="935" w:type="dxa"/>
            <w:tcBorders>
              <w:top w:val="nil"/>
              <w:left w:val="nil"/>
              <w:bottom w:val="nil"/>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83 (70,9)</w:t>
            </w:r>
          </w:p>
        </w:tc>
        <w:tc>
          <w:tcPr>
            <w:tcW w:w="850" w:type="dxa"/>
            <w:tcBorders>
              <w:top w:val="nil"/>
              <w:left w:val="single" w:sz="4" w:space="0" w:color="auto"/>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p>
        </w:tc>
      </w:tr>
      <w:tr w:rsidR="00EA1049" w:rsidRPr="00F4136C" w:rsidTr="008470AA">
        <w:tc>
          <w:tcPr>
            <w:tcW w:w="1984" w:type="dxa"/>
            <w:tcBorders>
              <w:top w:val="nil"/>
              <w:left w:val="nil"/>
              <w:bottom w:val="single" w:sz="4" w:space="0" w:color="auto"/>
              <w:right w:val="single" w:sz="4" w:space="0" w:color="auto"/>
            </w:tcBorders>
            <w:shd w:val="clear" w:color="auto" w:fill="auto"/>
          </w:tcPr>
          <w:p w:rsidR="00EA1049" w:rsidRPr="009A0DDA" w:rsidRDefault="00EA1049" w:rsidP="00CC2E2C">
            <w:pPr>
              <w:contextualSpacing/>
              <w:jc w:val="both"/>
              <w:rPr>
                <w:rFonts w:ascii="Calibri" w:hAnsi="Calibri" w:cs="Calibri"/>
                <w:sz w:val="16"/>
                <w:szCs w:val="16"/>
              </w:rPr>
            </w:pPr>
            <w:r w:rsidRPr="009A0DDA">
              <w:rPr>
                <w:rFonts w:ascii="Calibri" w:hAnsi="Calibri" w:cs="Calibri"/>
                <w:sz w:val="16"/>
                <w:szCs w:val="16"/>
              </w:rPr>
              <w:t xml:space="preserve">  Bai</w:t>
            </w:r>
          </w:p>
        </w:tc>
        <w:tc>
          <w:tcPr>
            <w:tcW w:w="964" w:type="dxa"/>
            <w:tcBorders>
              <w:top w:val="nil"/>
              <w:left w:val="single" w:sz="4" w:space="0" w:color="auto"/>
              <w:bottom w:val="single" w:sz="4" w:space="0" w:color="auto"/>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226 (22,9)</w:t>
            </w:r>
          </w:p>
        </w:tc>
        <w:tc>
          <w:tcPr>
            <w:tcW w:w="935" w:type="dxa"/>
            <w:tcBorders>
              <w:top w:val="nil"/>
              <w:left w:val="single" w:sz="4" w:space="0" w:color="auto"/>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31 (18,5)</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49 (19,4)</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65 (25,0)</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47 (24,5)</w:t>
            </w:r>
          </w:p>
        </w:tc>
        <w:tc>
          <w:tcPr>
            <w:tcW w:w="935" w:type="dxa"/>
            <w:tcBorders>
              <w:top w:val="nil"/>
              <w:left w:val="nil"/>
              <w:bottom w:val="single" w:sz="4" w:space="0" w:color="auto"/>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34 (29,1)</w:t>
            </w:r>
          </w:p>
        </w:tc>
        <w:tc>
          <w:tcPr>
            <w:tcW w:w="850" w:type="dxa"/>
            <w:tcBorders>
              <w:top w:val="nil"/>
              <w:left w:val="single" w:sz="4" w:space="0" w:color="auto"/>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p>
        </w:tc>
      </w:tr>
      <w:tr w:rsidR="00EA1049" w:rsidRPr="00F4136C" w:rsidTr="008470AA">
        <w:tc>
          <w:tcPr>
            <w:tcW w:w="1984" w:type="dxa"/>
            <w:tcBorders>
              <w:top w:val="single" w:sz="4" w:space="0" w:color="auto"/>
              <w:left w:val="nil"/>
              <w:bottom w:val="nil"/>
              <w:right w:val="single" w:sz="4" w:space="0" w:color="auto"/>
            </w:tcBorders>
            <w:shd w:val="clear" w:color="auto" w:fill="F2F2F2"/>
          </w:tcPr>
          <w:p w:rsidR="00EA1049" w:rsidRPr="009A0DDA" w:rsidRDefault="00EA1049" w:rsidP="00CC2E2C">
            <w:pPr>
              <w:contextualSpacing/>
              <w:jc w:val="both"/>
              <w:rPr>
                <w:rFonts w:ascii="Calibri" w:hAnsi="Calibri" w:cs="Calibri"/>
                <w:b/>
                <w:sz w:val="16"/>
                <w:szCs w:val="16"/>
              </w:rPr>
            </w:pPr>
            <w:r w:rsidRPr="009A0DDA">
              <w:rPr>
                <w:rFonts w:ascii="Calibri" w:hAnsi="Calibri" w:cs="Calibri"/>
                <w:b/>
                <w:sz w:val="16"/>
                <w:szCs w:val="16"/>
              </w:rPr>
              <w:t>Biriketako gaitza</w:t>
            </w:r>
          </w:p>
        </w:tc>
        <w:tc>
          <w:tcPr>
            <w:tcW w:w="964" w:type="dxa"/>
            <w:tcBorders>
              <w:top w:val="single" w:sz="4" w:space="0" w:color="auto"/>
              <w:left w:val="single" w:sz="4" w:space="0" w:color="auto"/>
              <w:bottom w:val="nil"/>
              <w:right w:val="single" w:sz="4" w:space="0" w:color="auto"/>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single" w:sz="4" w:space="0" w:color="auto"/>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single" w:sz="4" w:space="0" w:color="auto"/>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850" w:type="dxa"/>
            <w:tcBorders>
              <w:top w:val="single" w:sz="4" w:space="0" w:color="auto"/>
              <w:left w:val="single" w:sz="4" w:space="0" w:color="auto"/>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0,725</w:t>
            </w:r>
          </w:p>
        </w:tc>
      </w:tr>
      <w:tr w:rsidR="00EA1049" w:rsidRPr="00F4136C" w:rsidTr="008470AA">
        <w:tc>
          <w:tcPr>
            <w:tcW w:w="1984" w:type="dxa"/>
            <w:tcBorders>
              <w:top w:val="nil"/>
              <w:left w:val="nil"/>
              <w:bottom w:val="nil"/>
              <w:right w:val="single" w:sz="4" w:space="0" w:color="auto"/>
            </w:tcBorders>
            <w:shd w:val="clear" w:color="auto" w:fill="auto"/>
          </w:tcPr>
          <w:p w:rsidR="00EA1049" w:rsidRPr="009A0DDA" w:rsidRDefault="00EA1049" w:rsidP="00CC2E2C">
            <w:pPr>
              <w:contextualSpacing/>
              <w:jc w:val="both"/>
              <w:rPr>
                <w:rFonts w:ascii="Calibri" w:hAnsi="Calibri" w:cs="Calibri"/>
                <w:sz w:val="16"/>
                <w:szCs w:val="16"/>
              </w:rPr>
            </w:pPr>
            <w:r w:rsidRPr="009A0DDA">
              <w:rPr>
                <w:rFonts w:ascii="Calibri" w:hAnsi="Calibri" w:cs="Calibri"/>
                <w:sz w:val="16"/>
                <w:szCs w:val="16"/>
              </w:rPr>
              <w:t xml:space="preserve">  Ez</w:t>
            </w:r>
          </w:p>
        </w:tc>
        <w:tc>
          <w:tcPr>
            <w:tcW w:w="964" w:type="dxa"/>
            <w:tcBorders>
              <w:top w:val="nil"/>
              <w:left w:val="single" w:sz="4" w:space="0" w:color="auto"/>
              <w:bottom w:val="nil"/>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355 (35,9)</w:t>
            </w:r>
          </w:p>
        </w:tc>
        <w:tc>
          <w:tcPr>
            <w:tcW w:w="935" w:type="dxa"/>
            <w:tcBorders>
              <w:top w:val="nil"/>
              <w:left w:val="single" w:sz="4" w:space="0" w:color="auto"/>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56 (33,3)</w:t>
            </w:r>
          </w:p>
        </w:tc>
        <w:tc>
          <w:tcPr>
            <w:tcW w:w="935" w:type="dxa"/>
            <w:tcBorders>
              <w:top w:val="nil"/>
              <w:left w:val="nil"/>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89 (35,3)</w:t>
            </w:r>
          </w:p>
        </w:tc>
        <w:tc>
          <w:tcPr>
            <w:tcW w:w="935" w:type="dxa"/>
            <w:tcBorders>
              <w:top w:val="nil"/>
              <w:left w:val="nil"/>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98 (37,7)</w:t>
            </w:r>
          </w:p>
        </w:tc>
        <w:tc>
          <w:tcPr>
            <w:tcW w:w="935" w:type="dxa"/>
            <w:tcBorders>
              <w:top w:val="nil"/>
              <w:left w:val="nil"/>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74 (38,5)</w:t>
            </w:r>
          </w:p>
        </w:tc>
        <w:tc>
          <w:tcPr>
            <w:tcW w:w="935" w:type="dxa"/>
            <w:tcBorders>
              <w:top w:val="nil"/>
              <w:left w:val="nil"/>
              <w:bottom w:val="nil"/>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38 (32,5)</w:t>
            </w:r>
          </w:p>
        </w:tc>
        <w:tc>
          <w:tcPr>
            <w:tcW w:w="850" w:type="dxa"/>
            <w:tcBorders>
              <w:top w:val="nil"/>
              <w:left w:val="single" w:sz="4" w:space="0" w:color="auto"/>
              <w:bottom w:val="nil"/>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p>
        </w:tc>
      </w:tr>
      <w:tr w:rsidR="00EA1049" w:rsidRPr="00F4136C" w:rsidTr="008470AA">
        <w:tc>
          <w:tcPr>
            <w:tcW w:w="1984" w:type="dxa"/>
            <w:tcBorders>
              <w:top w:val="nil"/>
              <w:left w:val="nil"/>
              <w:bottom w:val="single" w:sz="4" w:space="0" w:color="auto"/>
              <w:right w:val="single" w:sz="4" w:space="0" w:color="auto"/>
            </w:tcBorders>
            <w:shd w:val="clear" w:color="auto" w:fill="auto"/>
          </w:tcPr>
          <w:p w:rsidR="00EA1049" w:rsidRPr="009A0DDA" w:rsidRDefault="00EA1049" w:rsidP="00CC2E2C">
            <w:pPr>
              <w:contextualSpacing/>
              <w:jc w:val="both"/>
              <w:rPr>
                <w:rFonts w:ascii="Calibri" w:hAnsi="Calibri" w:cs="Calibri"/>
                <w:sz w:val="16"/>
                <w:szCs w:val="16"/>
              </w:rPr>
            </w:pPr>
            <w:r w:rsidRPr="009A0DDA">
              <w:rPr>
                <w:rFonts w:ascii="Calibri" w:hAnsi="Calibri" w:cs="Calibri"/>
                <w:sz w:val="16"/>
                <w:szCs w:val="16"/>
              </w:rPr>
              <w:t xml:space="preserve">  Bai</w:t>
            </w:r>
          </w:p>
        </w:tc>
        <w:tc>
          <w:tcPr>
            <w:tcW w:w="964" w:type="dxa"/>
            <w:tcBorders>
              <w:top w:val="nil"/>
              <w:left w:val="single" w:sz="4" w:space="0" w:color="auto"/>
              <w:bottom w:val="single" w:sz="4" w:space="0" w:color="auto"/>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634 (64,1)</w:t>
            </w:r>
          </w:p>
        </w:tc>
        <w:tc>
          <w:tcPr>
            <w:tcW w:w="935" w:type="dxa"/>
            <w:tcBorders>
              <w:top w:val="nil"/>
              <w:left w:val="single" w:sz="4" w:space="0" w:color="auto"/>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112 (66,7)</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163 (64,7)</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162 (62,3)</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118 (61,5)</w:t>
            </w:r>
          </w:p>
        </w:tc>
        <w:tc>
          <w:tcPr>
            <w:tcW w:w="935" w:type="dxa"/>
            <w:tcBorders>
              <w:top w:val="nil"/>
              <w:left w:val="nil"/>
              <w:bottom w:val="single" w:sz="4" w:space="0" w:color="auto"/>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79 (67,5)</w:t>
            </w:r>
          </w:p>
        </w:tc>
        <w:tc>
          <w:tcPr>
            <w:tcW w:w="850" w:type="dxa"/>
            <w:tcBorders>
              <w:top w:val="nil"/>
              <w:left w:val="single" w:sz="4" w:space="0" w:color="auto"/>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p>
        </w:tc>
      </w:tr>
      <w:tr w:rsidR="00EA1049" w:rsidRPr="00F4136C" w:rsidTr="008470AA">
        <w:tc>
          <w:tcPr>
            <w:tcW w:w="1984" w:type="dxa"/>
            <w:tcBorders>
              <w:top w:val="single" w:sz="4" w:space="0" w:color="auto"/>
              <w:left w:val="nil"/>
              <w:bottom w:val="nil"/>
              <w:right w:val="single" w:sz="4" w:space="0" w:color="auto"/>
            </w:tcBorders>
            <w:shd w:val="clear" w:color="auto" w:fill="F2F2F2"/>
          </w:tcPr>
          <w:p w:rsidR="00EA1049" w:rsidRPr="009A0DDA" w:rsidRDefault="00EA1049" w:rsidP="00CC2E2C">
            <w:pPr>
              <w:contextualSpacing/>
              <w:jc w:val="both"/>
              <w:rPr>
                <w:rFonts w:ascii="Calibri" w:hAnsi="Calibri" w:cs="Calibri"/>
                <w:b/>
                <w:sz w:val="16"/>
                <w:szCs w:val="16"/>
              </w:rPr>
            </w:pPr>
            <w:r w:rsidRPr="009A0DDA">
              <w:rPr>
                <w:rFonts w:ascii="Calibri" w:hAnsi="Calibri" w:cs="Calibri"/>
                <w:b/>
                <w:sz w:val="16"/>
                <w:szCs w:val="16"/>
              </w:rPr>
              <w:t>Bataz besteko adina (DE*)</w:t>
            </w:r>
          </w:p>
        </w:tc>
        <w:tc>
          <w:tcPr>
            <w:tcW w:w="964" w:type="dxa"/>
            <w:tcBorders>
              <w:top w:val="single" w:sz="4" w:space="0" w:color="auto"/>
              <w:left w:val="single" w:sz="4" w:space="0" w:color="auto"/>
              <w:bottom w:val="nil"/>
              <w:right w:val="single" w:sz="4" w:space="0" w:color="auto"/>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single" w:sz="4" w:space="0" w:color="auto"/>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935" w:type="dxa"/>
            <w:tcBorders>
              <w:top w:val="single" w:sz="4" w:space="0" w:color="auto"/>
              <w:left w:val="nil"/>
              <w:bottom w:val="nil"/>
              <w:right w:val="single" w:sz="4" w:space="0" w:color="auto"/>
            </w:tcBorders>
            <w:shd w:val="clear" w:color="auto" w:fill="F2F2F2"/>
            <w:vAlign w:val="center"/>
          </w:tcPr>
          <w:p w:rsidR="00EA1049" w:rsidRPr="009A0DDA" w:rsidRDefault="00EA1049" w:rsidP="00CC2E2C">
            <w:pPr>
              <w:contextualSpacing/>
              <w:jc w:val="center"/>
              <w:rPr>
                <w:rFonts w:ascii="Calibri" w:hAnsi="Calibri" w:cs="Calibri"/>
                <w:sz w:val="16"/>
                <w:szCs w:val="16"/>
              </w:rPr>
            </w:pPr>
          </w:p>
        </w:tc>
        <w:tc>
          <w:tcPr>
            <w:tcW w:w="850" w:type="dxa"/>
            <w:tcBorders>
              <w:top w:val="single" w:sz="4" w:space="0" w:color="auto"/>
              <w:left w:val="single" w:sz="4" w:space="0" w:color="auto"/>
              <w:bottom w:val="nil"/>
              <w:right w:val="nil"/>
            </w:tcBorders>
            <w:shd w:val="clear" w:color="auto" w:fill="F2F2F2"/>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0,195</w:t>
            </w:r>
          </w:p>
        </w:tc>
      </w:tr>
      <w:tr w:rsidR="00EA1049" w:rsidRPr="00F4136C" w:rsidTr="008470AA">
        <w:trPr>
          <w:trHeight w:val="170"/>
        </w:trPr>
        <w:tc>
          <w:tcPr>
            <w:tcW w:w="1984" w:type="dxa"/>
            <w:tcBorders>
              <w:top w:val="nil"/>
              <w:left w:val="nil"/>
              <w:bottom w:val="single" w:sz="4" w:space="0" w:color="auto"/>
              <w:right w:val="single" w:sz="4" w:space="0" w:color="auto"/>
            </w:tcBorders>
            <w:shd w:val="clear" w:color="auto" w:fill="auto"/>
          </w:tcPr>
          <w:p w:rsidR="00EA1049" w:rsidRPr="009A0DDA" w:rsidRDefault="00EA1049" w:rsidP="00CC2E2C">
            <w:pPr>
              <w:contextualSpacing/>
              <w:jc w:val="both"/>
              <w:rPr>
                <w:rFonts w:ascii="Calibri" w:hAnsi="Calibri" w:cs="Calibri"/>
                <w:b/>
                <w:sz w:val="16"/>
                <w:szCs w:val="16"/>
              </w:rPr>
            </w:pPr>
          </w:p>
        </w:tc>
        <w:tc>
          <w:tcPr>
            <w:tcW w:w="964" w:type="dxa"/>
            <w:tcBorders>
              <w:top w:val="nil"/>
              <w:left w:val="single" w:sz="4" w:space="0" w:color="auto"/>
              <w:bottom w:val="single" w:sz="4" w:space="0" w:color="auto"/>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50,4 (20,5)</w:t>
            </w:r>
          </w:p>
        </w:tc>
        <w:tc>
          <w:tcPr>
            <w:tcW w:w="935" w:type="dxa"/>
            <w:tcBorders>
              <w:top w:val="nil"/>
              <w:left w:val="single" w:sz="4" w:space="0" w:color="auto"/>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Pr>
                <w:rFonts w:ascii="Calibri" w:hAnsi="Calibri" w:cs="Calibri"/>
                <w:sz w:val="16"/>
                <w:szCs w:val="16"/>
              </w:rPr>
              <w:t xml:space="preserve">51,5 </w:t>
            </w:r>
            <w:r w:rsidRPr="009A0DDA">
              <w:rPr>
                <w:rFonts w:ascii="Calibri" w:hAnsi="Calibri" w:cs="Calibri"/>
                <w:sz w:val="16"/>
                <w:szCs w:val="16"/>
              </w:rPr>
              <w:t>(20,6)</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51,4 (20,2)</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50,8 (20,5)</w:t>
            </w:r>
          </w:p>
        </w:tc>
        <w:tc>
          <w:tcPr>
            <w:tcW w:w="935" w:type="dxa"/>
            <w:tcBorders>
              <w:top w:val="nil"/>
              <w:left w:val="nil"/>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50,3 (20,3)</w:t>
            </w:r>
          </w:p>
        </w:tc>
        <w:tc>
          <w:tcPr>
            <w:tcW w:w="935" w:type="dxa"/>
            <w:tcBorders>
              <w:top w:val="nil"/>
              <w:left w:val="nil"/>
              <w:bottom w:val="single" w:sz="4" w:space="0" w:color="auto"/>
              <w:right w:val="single" w:sz="4" w:space="0" w:color="auto"/>
            </w:tcBorders>
            <w:shd w:val="clear" w:color="auto" w:fill="auto"/>
            <w:vAlign w:val="center"/>
          </w:tcPr>
          <w:p w:rsidR="00EA1049" w:rsidRPr="009A0DDA" w:rsidRDefault="00EA1049" w:rsidP="00CC2E2C">
            <w:pPr>
              <w:contextualSpacing/>
              <w:jc w:val="center"/>
              <w:rPr>
                <w:rFonts w:ascii="Calibri" w:hAnsi="Calibri" w:cs="Calibri"/>
                <w:sz w:val="16"/>
                <w:szCs w:val="16"/>
              </w:rPr>
            </w:pPr>
            <w:r w:rsidRPr="009A0DDA">
              <w:rPr>
                <w:rFonts w:ascii="Calibri" w:hAnsi="Calibri" w:cs="Calibri"/>
                <w:sz w:val="16"/>
                <w:szCs w:val="16"/>
              </w:rPr>
              <w:t>46,2 (20,7)</w:t>
            </w:r>
          </w:p>
        </w:tc>
        <w:tc>
          <w:tcPr>
            <w:tcW w:w="850" w:type="dxa"/>
            <w:tcBorders>
              <w:top w:val="nil"/>
              <w:left w:val="single" w:sz="4" w:space="0" w:color="auto"/>
              <w:bottom w:val="single" w:sz="4" w:space="0" w:color="auto"/>
              <w:right w:val="nil"/>
            </w:tcBorders>
            <w:shd w:val="clear" w:color="auto" w:fill="auto"/>
            <w:vAlign w:val="center"/>
          </w:tcPr>
          <w:p w:rsidR="00EA1049" w:rsidRPr="009A0DDA" w:rsidRDefault="00EA1049" w:rsidP="00CC2E2C">
            <w:pPr>
              <w:contextualSpacing/>
              <w:jc w:val="center"/>
              <w:rPr>
                <w:rFonts w:ascii="Calibri" w:hAnsi="Calibri" w:cs="Calibri"/>
                <w:sz w:val="16"/>
                <w:szCs w:val="16"/>
              </w:rPr>
            </w:pPr>
          </w:p>
        </w:tc>
      </w:tr>
    </w:tbl>
    <w:p w:rsidR="00EA1049" w:rsidRDefault="00EA1049" w:rsidP="00701EFA">
      <w:pPr>
        <w:spacing w:after="0"/>
        <w:jc w:val="both"/>
        <w:rPr>
          <w:rFonts w:ascii="Calibri" w:hAnsi="Calibri" w:cs="Calibri"/>
          <w:sz w:val="14"/>
          <w:szCs w:val="24"/>
        </w:rPr>
      </w:pPr>
      <w:r w:rsidRPr="009A0DDA">
        <w:rPr>
          <w:rFonts w:ascii="Calibri" w:hAnsi="Calibri" w:cs="Calibri"/>
          <w:sz w:val="16"/>
          <w:szCs w:val="16"/>
        </w:rPr>
        <w:t>*DE: Desbiderapen estandarra</w:t>
      </w:r>
      <w:r w:rsidRPr="00077051">
        <w:rPr>
          <w:rFonts w:ascii="Calibri" w:hAnsi="Calibri" w:cs="Calibri"/>
          <w:sz w:val="14"/>
          <w:szCs w:val="24"/>
        </w:rPr>
        <w:t xml:space="preserve">. </w:t>
      </w:r>
    </w:p>
    <w:p w:rsidR="00EA1049" w:rsidRPr="00077051" w:rsidRDefault="00EA1049" w:rsidP="00701EFA">
      <w:pPr>
        <w:spacing w:after="0"/>
        <w:jc w:val="both"/>
        <w:rPr>
          <w:rFonts w:ascii="Calibri" w:hAnsi="Calibri" w:cs="Calibri"/>
          <w:sz w:val="14"/>
          <w:szCs w:val="24"/>
        </w:rPr>
      </w:pPr>
      <w:r>
        <w:rPr>
          <w:rFonts w:ascii="Calibri" w:hAnsi="Calibri" w:cs="Calibri"/>
          <w:sz w:val="14"/>
          <w:szCs w:val="24"/>
        </w:rPr>
        <w:t>** p: p balioa, esangarritasun maila.</w:t>
      </w:r>
    </w:p>
    <w:p w:rsidR="00EA1049" w:rsidRDefault="00EA1049" w:rsidP="00CC2E2C">
      <w:pPr>
        <w:contextualSpacing/>
        <w:jc w:val="both"/>
        <w:rPr>
          <w:rFonts w:ascii="Calibri" w:hAnsi="Calibri" w:cs="Calibri"/>
        </w:rPr>
      </w:pPr>
    </w:p>
    <w:p w:rsidR="00EA1049" w:rsidRPr="00AA16E0" w:rsidRDefault="00EA1049" w:rsidP="00CC2E2C">
      <w:pPr>
        <w:contextualSpacing/>
        <w:jc w:val="both"/>
        <w:rPr>
          <w:rFonts w:ascii="Calibri" w:hAnsi="Calibri" w:cs="Calibri"/>
        </w:rPr>
      </w:pPr>
      <w:r>
        <w:rPr>
          <w:rFonts w:ascii="Calibri" w:hAnsi="Calibri" w:cs="Calibri"/>
        </w:rPr>
        <w:t>Gabezia-maila</w:t>
      </w:r>
      <w:r w:rsidRPr="00AA16E0">
        <w:rPr>
          <w:rFonts w:ascii="Calibri" w:hAnsi="Calibri" w:cs="Calibri"/>
        </w:rPr>
        <w:t xml:space="preserve"> guztietan gizonezkoen tasak emakumezkoenak baino altuagoak dira (</w:t>
      </w:r>
      <w:r w:rsidRPr="00A005F1">
        <w:rPr>
          <w:rFonts w:ascii="Calibri" w:hAnsi="Calibri" w:cs="Calibri"/>
        </w:rPr>
        <w:t>2. taula</w:t>
      </w:r>
      <w:r w:rsidRPr="00AA16E0">
        <w:rPr>
          <w:rFonts w:ascii="Calibri" w:hAnsi="Calibri" w:cs="Calibri"/>
        </w:rPr>
        <w:t xml:space="preserve">), eta tasa hauek handituz doaz </w:t>
      </w:r>
      <w:r>
        <w:rPr>
          <w:rFonts w:ascii="Calibri" w:hAnsi="Calibri" w:cs="Calibri"/>
        </w:rPr>
        <w:t xml:space="preserve">bi sexuetan </w:t>
      </w:r>
      <w:r w:rsidRPr="00AA16E0">
        <w:rPr>
          <w:rFonts w:ascii="Calibri" w:hAnsi="Calibri" w:cs="Calibri"/>
        </w:rPr>
        <w:t>maila sozioekonomiko altuen</w:t>
      </w:r>
      <w:r>
        <w:rPr>
          <w:rFonts w:ascii="Calibri" w:hAnsi="Calibri" w:cs="Calibri"/>
        </w:rPr>
        <w:t>etik (1.kintila)</w:t>
      </w:r>
      <w:r w:rsidRPr="00AA16E0">
        <w:rPr>
          <w:rFonts w:ascii="Calibri" w:hAnsi="Calibri" w:cs="Calibri"/>
        </w:rPr>
        <w:t xml:space="preserve"> baxuen</w:t>
      </w:r>
      <w:r>
        <w:rPr>
          <w:rFonts w:ascii="Calibri" w:hAnsi="Calibri" w:cs="Calibri"/>
        </w:rPr>
        <w:t>er</w:t>
      </w:r>
      <w:r w:rsidRPr="00AA16E0">
        <w:rPr>
          <w:rFonts w:ascii="Calibri" w:hAnsi="Calibri" w:cs="Calibri"/>
        </w:rPr>
        <w:t xml:space="preserve">a </w:t>
      </w:r>
      <w:r>
        <w:rPr>
          <w:rFonts w:ascii="Calibri" w:hAnsi="Calibri" w:cs="Calibri"/>
        </w:rPr>
        <w:t>(</w:t>
      </w:r>
      <w:r w:rsidRPr="00AA16E0">
        <w:rPr>
          <w:rFonts w:ascii="Calibri" w:hAnsi="Calibri" w:cs="Calibri"/>
        </w:rPr>
        <w:t>5. kintil</w:t>
      </w:r>
      <w:r>
        <w:rPr>
          <w:rFonts w:ascii="Calibri" w:hAnsi="Calibri" w:cs="Calibri"/>
        </w:rPr>
        <w:t>a)</w:t>
      </w:r>
      <w:r w:rsidRPr="00AA16E0">
        <w:rPr>
          <w:rFonts w:ascii="Calibri" w:hAnsi="Calibri" w:cs="Calibri"/>
        </w:rPr>
        <w:t>. Taula berean 2tik 5erako kintilen tasa</w:t>
      </w:r>
      <w:r>
        <w:rPr>
          <w:rFonts w:ascii="Calibri" w:hAnsi="Calibri" w:cs="Calibri"/>
        </w:rPr>
        <w:t xml:space="preserve"> estandarizatuen</w:t>
      </w:r>
      <w:r w:rsidRPr="00AA16E0">
        <w:rPr>
          <w:rFonts w:ascii="Calibri" w:hAnsi="Calibri" w:cs="Calibri"/>
        </w:rPr>
        <w:t xml:space="preserve"> arrazoiak aurkezten dira, 1. gabezia-kintilaren</w:t>
      </w:r>
      <w:r>
        <w:rPr>
          <w:rFonts w:ascii="Calibri" w:hAnsi="Calibri" w:cs="Calibri"/>
        </w:rPr>
        <w:t xml:space="preserve"> tasarekin</w:t>
      </w:r>
      <w:r w:rsidRPr="00AA16E0">
        <w:rPr>
          <w:rFonts w:ascii="Calibri" w:hAnsi="Calibri" w:cs="Calibri"/>
        </w:rPr>
        <w:t xml:space="preserve"> alderatuz lortzen diren</w:t>
      </w:r>
      <w:r>
        <w:rPr>
          <w:rFonts w:ascii="Calibri" w:hAnsi="Calibri" w:cs="Calibri"/>
        </w:rPr>
        <w:t>ak</w:t>
      </w:r>
      <w:r w:rsidRPr="00AA16E0">
        <w:rPr>
          <w:rFonts w:ascii="Calibri" w:hAnsi="Calibri" w:cs="Calibri"/>
        </w:rPr>
        <w:t xml:space="preserve">. Ikus daitekeenez, </w:t>
      </w:r>
      <w:r>
        <w:rPr>
          <w:rFonts w:ascii="Calibri" w:hAnsi="Calibri" w:cs="Calibri"/>
        </w:rPr>
        <w:t>arrazoien balioak</w:t>
      </w:r>
      <w:r w:rsidRPr="00AA16E0">
        <w:rPr>
          <w:rFonts w:ascii="Calibri" w:hAnsi="Calibri" w:cs="Calibri"/>
        </w:rPr>
        <w:t xml:space="preserve"> 1 baino handiagoak dira kintil guztietan</w:t>
      </w:r>
      <w:r>
        <w:rPr>
          <w:rFonts w:ascii="Calibri" w:hAnsi="Calibri" w:cs="Calibri"/>
        </w:rPr>
        <w:t xml:space="preserve">. Hala ere, </w:t>
      </w:r>
      <w:r w:rsidRPr="00AA16E0">
        <w:rPr>
          <w:rFonts w:ascii="Calibri" w:hAnsi="Calibri" w:cs="Calibri"/>
        </w:rPr>
        <w:t>arriskuaren emendio hau estatistikoki esangarria</w:t>
      </w:r>
      <w:r>
        <w:rPr>
          <w:rFonts w:ascii="Calibri" w:hAnsi="Calibri" w:cs="Calibri"/>
        </w:rPr>
        <w:t xml:space="preserve"> da </w:t>
      </w:r>
      <w:r w:rsidRPr="00AA16E0">
        <w:rPr>
          <w:rFonts w:ascii="Calibri" w:hAnsi="Calibri" w:cs="Calibri"/>
        </w:rPr>
        <w:t>soilik 4. eta 5. mail</w:t>
      </w:r>
      <w:r>
        <w:rPr>
          <w:rFonts w:ascii="Calibri" w:hAnsi="Calibri" w:cs="Calibri"/>
        </w:rPr>
        <w:t>etan</w:t>
      </w:r>
      <w:r w:rsidRPr="00AA16E0">
        <w:rPr>
          <w:rFonts w:ascii="Calibri" w:hAnsi="Calibri" w:cs="Calibri"/>
        </w:rPr>
        <w:t xml:space="preserve"> gizonen kasuan</w:t>
      </w:r>
      <w:r>
        <w:rPr>
          <w:rFonts w:ascii="Calibri" w:hAnsi="Calibri" w:cs="Calibri"/>
        </w:rPr>
        <w:t>,</w:t>
      </w:r>
      <w:r w:rsidRPr="00AA16E0">
        <w:rPr>
          <w:rFonts w:ascii="Calibri" w:hAnsi="Calibri" w:cs="Calibri"/>
        </w:rPr>
        <w:t xml:space="preserve"> eta 3. mailan emakumeetan.</w:t>
      </w:r>
    </w:p>
    <w:p w:rsidR="00EA1049" w:rsidRDefault="00EA1049" w:rsidP="00CC2E2C">
      <w:pPr>
        <w:contextualSpacing/>
        <w:jc w:val="both"/>
        <w:rPr>
          <w:rFonts w:ascii="Calibri" w:hAnsi="Calibri" w:cs="Calibri"/>
        </w:rPr>
      </w:pPr>
    </w:p>
    <w:p w:rsidR="00CC2E2C" w:rsidRDefault="00CC2E2C" w:rsidP="00CC2E2C">
      <w:pPr>
        <w:contextualSpacing/>
        <w:jc w:val="both"/>
        <w:rPr>
          <w:rFonts w:ascii="Calibri" w:hAnsi="Calibri" w:cs="Calibri"/>
        </w:rPr>
      </w:pPr>
    </w:p>
    <w:p w:rsidR="00CC2E2C" w:rsidRDefault="00CC2E2C" w:rsidP="00CC2E2C">
      <w:pPr>
        <w:contextualSpacing/>
        <w:jc w:val="both"/>
        <w:rPr>
          <w:rFonts w:ascii="Calibri" w:hAnsi="Calibri" w:cs="Calibri"/>
        </w:rPr>
      </w:pPr>
    </w:p>
    <w:p w:rsidR="00CC2E2C" w:rsidRDefault="00CC2E2C" w:rsidP="00CC2E2C">
      <w:pPr>
        <w:contextualSpacing/>
        <w:jc w:val="both"/>
        <w:rPr>
          <w:rFonts w:ascii="Calibri" w:hAnsi="Calibri" w:cs="Calibri"/>
        </w:rPr>
      </w:pPr>
    </w:p>
    <w:p w:rsidR="00CC2E2C" w:rsidRPr="00AA16E0" w:rsidRDefault="00CC2E2C" w:rsidP="00CC2E2C">
      <w:pPr>
        <w:contextualSpacing/>
        <w:jc w:val="both"/>
        <w:rPr>
          <w:rFonts w:ascii="Calibri" w:hAnsi="Calibri" w:cs="Calibri"/>
        </w:rPr>
      </w:pPr>
    </w:p>
    <w:p w:rsidR="00EA1049" w:rsidRPr="00BC12FE" w:rsidRDefault="00EA1049" w:rsidP="00CC2E2C">
      <w:pPr>
        <w:contextualSpacing/>
        <w:jc w:val="both"/>
        <w:rPr>
          <w:rFonts w:ascii="Calibri" w:hAnsi="Calibri" w:cs="Calibri"/>
          <w:sz w:val="20"/>
        </w:rPr>
      </w:pPr>
      <w:r w:rsidRPr="00BC12FE">
        <w:rPr>
          <w:rFonts w:ascii="Calibri" w:hAnsi="Calibri" w:cs="Calibri"/>
          <w:b/>
          <w:sz w:val="20"/>
        </w:rPr>
        <w:lastRenderedPageBreak/>
        <w:t>2. taula</w:t>
      </w:r>
      <w:r w:rsidRPr="00BC12FE">
        <w:rPr>
          <w:rFonts w:ascii="Calibri" w:hAnsi="Calibri" w:cs="Calibri"/>
          <w:sz w:val="20"/>
        </w:rPr>
        <w:t>: Tuberkulosi kasu kopurua, tasak eta tasa estandarizatuen arrazoia, gabezia-mailaren arabera. Gipuzkoa, 2010-2017.</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907"/>
        <w:gridCol w:w="737"/>
        <w:gridCol w:w="737"/>
        <w:gridCol w:w="1361"/>
        <w:gridCol w:w="907"/>
        <w:gridCol w:w="737"/>
        <w:gridCol w:w="737"/>
        <w:gridCol w:w="591"/>
        <w:gridCol w:w="770"/>
      </w:tblGrid>
      <w:tr w:rsidR="00EA1049" w:rsidRPr="00AF0177" w:rsidTr="008470AA">
        <w:tc>
          <w:tcPr>
            <w:tcW w:w="1191" w:type="dxa"/>
            <w:tcBorders>
              <w:left w:val="nil"/>
              <w:bottom w:val="single" w:sz="4" w:space="0" w:color="auto"/>
            </w:tcBorders>
            <w:shd w:val="clear" w:color="auto" w:fill="auto"/>
            <w:vAlign w:val="center"/>
          </w:tcPr>
          <w:p w:rsidR="00EA1049" w:rsidRPr="009F2742" w:rsidRDefault="00EA1049" w:rsidP="00CC2E2C">
            <w:pPr>
              <w:contextualSpacing/>
              <w:jc w:val="center"/>
              <w:rPr>
                <w:rFonts w:ascii="Calibri" w:hAnsi="Calibri" w:cs="Calibri"/>
                <w:b/>
                <w:sz w:val="14"/>
                <w:szCs w:val="14"/>
              </w:rPr>
            </w:pPr>
          </w:p>
        </w:tc>
        <w:tc>
          <w:tcPr>
            <w:tcW w:w="3742" w:type="dxa"/>
            <w:gridSpan w:val="4"/>
            <w:tcBorders>
              <w:bottom w:val="single" w:sz="4" w:space="0" w:color="auto"/>
            </w:tcBorders>
            <w:shd w:val="clear" w:color="auto" w:fill="auto"/>
            <w:vAlign w:val="center"/>
          </w:tcPr>
          <w:p w:rsidR="00EA1049" w:rsidRPr="009F2742" w:rsidRDefault="00EA1049" w:rsidP="00CC2E2C">
            <w:pPr>
              <w:contextualSpacing/>
              <w:jc w:val="center"/>
              <w:rPr>
                <w:rFonts w:ascii="Calibri" w:hAnsi="Calibri" w:cs="Calibri"/>
                <w:b/>
                <w:sz w:val="14"/>
                <w:szCs w:val="14"/>
              </w:rPr>
            </w:pPr>
            <w:r w:rsidRPr="00077051">
              <w:rPr>
                <w:rFonts w:ascii="Calibri" w:hAnsi="Calibri" w:cs="Calibri"/>
                <w:b/>
                <w:sz w:val="18"/>
                <w:szCs w:val="14"/>
              </w:rPr>
              <w:t>Gizonak</w:t>
            </w:r>
          </w:p>
        </w:tc>
        <w:tc>
          <w:tcPr>
            <w:tcW w:w="3742" w:type="dxa"/>
            <w:gridSpan w:val="5"/>
            <w:tcBorders>
              <w:bottom w:val="single" w:sz="4" w:space="0" w:color="auto"/>
              <w:right w:val="nil"/>
            </w:tcBorders>
            <w:shd w:val="clear" w:color="auto" w:fill="auto"/>
            <w:vAlign w:val="center"/>
          </w:tcPr>
          <w:p w:rsidR="00EA1049" w:rsidRPr="009F2742" w:rsidRDefault="00EA1049" w:rsidP="00CC2E2C">
            <w:pPr>
              <w:contextualSpacing/>
              <w:jc w:val="center"/>
              <w:rPr>
                <w:rFonts w:ascii="Calibri" w:hAnsi="Calibri" w:cs="Calibri"/>
                <w:b/>
                <w:sz w:val="14"/>
                <w:szCs w:val="14"/>
              </w:rPr>
            </w:pPr>
            <w:r w:rsidRPr="00077051">
              <w:rPr>
                <w:rFonts w:ascii="Calibri" w:hAnsi="Calibri" w:cs="Calibri"/>
                <w:b/>
                <w:sz w:val="18"/>
                <w:szCs w:val="14"/>
              </w:rPr>
              <w:t>Emakumeak</w:t>
            </w:r>
          </w:p>
        </w:tc>
      </w:tr>
      <w:tr w:rsidR="00EA1049" w:rsidRPr="00297E16" w:rsidTr="008470AA">
        <w:tc>
          <w:tcPr>
            <w:tcW w:w="1191" w:type="dxa"/>
            <w:tcBorders>
              <w:left w:val="nil"/>
              <w:bottom w:val="single" w:sz="4" w:space="0" w:color="auto"/>
            </w:tcBorders>
            <w:shd w:val="clear" w:color="auto" w:fill="F2F2F2"/>
            <w:vAlign w:val="center"/>
          </w:tcPr>
          <w:p w:rsidR="00EA1049" w:rsidRPr="00297E16" w:rsidRDefault="00EA1049" w:rsidP="00CC2E2C">
            <w:pPr>
              <w:contextualSpacing/>
              <w:jc w:val="center"/>
              <w:rPr>
                <w:rFonts w:ascii="Calibri" w:hAnsi="Calibri" w:cs="Calibri"/>
                <w:b/>
                <w:sz w:val="16"/>
                <w:szCs w:val="16"/>
              </w:rPr>
            </w:pPr>
            <w:r w:rsidRPr="00297E16">
              <w:rPr>
                <w:rFonts w:ascii="Calibri" w:hAnsi="Calibri" w:cs="Calibri"/>
                <w:b/>
                <w:sz w:val="16"/>
                <w:szCs w:val="16"/>
              </w:rPr>
              <w:t>Gabezia-maila</w:t>
            </w:r>
          </w:p>
        </w:tc>
        <w:tc>
          <w:tcPr>
            <w:tcW w:w="907" w:type="dxa"/>
            <w:tcBorders>
              <w:left w:val="nil"/>
              <w:bottom w:val="single" w:sz="4" w:space="0" w:color="auto"/>
              <w:right w:val="nil"/>
            </w:tcBorders>
            <w:shd w:val="clear" w:color="auto" w:fill="F2F2F2"/>
            <w:vAlign w:val="center"/>
          </w:tcPr>
          <w:p w:rsidR="00EA1049" w:rsidRPr="00297E16" w:rsidRDefault="00EA1049" w:rsidP="00CC2E2C">
            <w:pPr>
              <w:contextualSpacing/>
              <w:jc w:val="center"/>
              <w:rPr>
                <w:rFonts w:ascii="Calibri" w:hAnsi="Calibri" w:cs="Calibri"/>
                <w:b/>
                <w:sz w:val="16"/>
                <w:szCs w:val="16"/>
              </w:rPr>
            </w:pPr>
            <w:r w:rsidRPr="00297E16">
              <w:rPr>
                <w:rFonts w:ascii="Calibri" w:hAnsi="Calibri" w:cs="Calibri"/>
                <w:b/>
                <w:sz w:val="16"/>
                <w:szCs w:val="16"/>
              </w:rPr>
              <w:t>Kasu kop.</w:t>
            </w:r>
          </w:p>
        </w:tc>
        <w:tc>
          <w:tcPr>
            <w:tcW w:w="737" w:type="dxa"/>
            <w:tcBorders>
              <w:left w:val="nil"/>
              <w:bottom w:val="single" w:sz="4" w:space="0" w:color="auto"/>
              <w:right w:val="nil"/>
            </w:tcBorders>
            <w:shd w:val="clear" w:color="auto" w:fill="F2F2F2"/>
            <w:vAlign w:val="center"/>
          </w:tcPr>
          <w:p w:rsidR="00EA1049" w:rsidRPr="00297E16" w:rsidRDefault="00EA1049" w:rsidP="00CC2E2C">
            <w:pPr>
              <w:contextualSpacing/>
              <w:jc w:val="center"/>
              <w:rPr>
                <w:rFonts w:ascii="Calibri" w:hAnsi="Calibri" w:cs="Calibri"/>
                <w:b/>
                <w:sz w:val="16"/>
                <w:szCs w:val="16"/>
              </w:rPr>
            </w:pPr>
            <w:r w:rsidRPr="00297E16">
              <w:rPr>
                <w:rFonts w:ascii="Calibri" w:hAnsi="Calibri" w:cs="Calibri"/>
                <w:b/>
                <w:sz w:val="16"/>
                <w:szCs w:val="16"/>
              </w:rPr>
              <w:t>Tasa</w:t>
            </w:r>
            <w:r>
              <w:rPr>
                <w:rFonts w:ascii="Calibri" w:hAnsi="Calibri" w:cs="Calibri"/>
                <w:b/>
                <w:sz w:val="16"/>
                <w:szCs w:val="16"/>
                <w:vertAlign w:val="superscript"/>
              </w:rPr>
              <w:t>a</w:t>
            </w:r>
          </w:p>
        </w:tc>
        <w:tc>
          <w:tcPr>
            <w:tcW w:w="737" w:type="dxa"/>
            <w:tcBorders>
              <w:left w:val="nil"/>
              <w:bottom w:val="single" w:sz="4" w:space="0" w:color="auto"/>
              <w:right w:val="nil"/>
            </w:tcBorders>
            <w:shd w:val="clear" w:color="auto" w:fill="F2F2F2"/>
            <w:vAlign w:val="center"/>
          </w:tcPr>
          <w:p w:rsidR="00EA1049" w:rsidRPr="00297E16" w:rsidRDefault="00EA1049" w:rsidP="00CC2E2C">
            <w:pPr>
              <w:contextualSpacing/>
              <w:jc w:val="center"/>
              <w:rPr>
                <w:rFonts w:ascii="Calibri" w:hAnsi="Calibri" w:cs="Calibri"/>
                <w:b/>
                <w:sz w:val="16"/>
                <w:szCs w:val="16"/>
                <w:vertAlign w:val="superscript"/>
              </w:rPr>
            </w:pPr>
            <w:r w:rsidRPr="00297E16">
              <w:rPr>
                <w:rFonts w:ascii="Calibri" w:hAnsi="Calibri" w:cs="Calibri"/>
                <w:b/>
                <w:sz w:val="16"/>
                <w:szCs w:val="16"/>
              </w:rPr>
              <w:t>TE</w:t>
            </w:r>
            <w:r>
              <w:rPr>
                <w:rFonts w:ascii="Calibri" w:hAnsi="Calibri" w:cs="Calibri"/>
                <w:b/>
                <w:sz w:val="16"/>
                <w:szCs w:val="16"/>
                <w:vertAlign w:val="superscript"/>
              </w:rPr>
              <w:t>b</w:t>
            </w:r>
          </w:p>
        </w:tc>
        <w:tc>
          <w:tcPr>
            <w:tcW w:w="1361" w:type="dxa"/>
            <w:tcBorders>
              <w:left w:val="nil"/>
              <w:bottom w:val="single" w:sz="4" w:space="0" w:color="auto"/>
            </w:tcBorders>
            <w:shd w:val="clear" w:color="auto" w:fill="F2F2F2"/>
            <w:vAlign w:val="center"/>
          </w:tcPr>
          <w:p w:rsidR="00EA1049" w:rsidRPr="008663A9" w:rsidRDefault="00EA1049" w:rsidP="00CC2E2C">
            <w:pPr>
              <w:contextualSpacing/>
              <w:jc w:val="center"/>
              <w:rPr>
                <w:rFonts w:ascii="Calibri" w:hAnsi="Calibri" w:cs="Calibri"/>
                <w:b/>
                <w:sz w:val="16"/>
                <w:szCs w:val="16"/>
                <w:vertAlign w:val="superscript"/>
              </w:rPr>
            </w:pPr>
            <w:r w:rsidRPr="00297E16">
              <w:rPr>
                <w:rFonts w:ascii="Calibri" w:hAnsi="Calibri" w:cs="Calibri"/>
                <w:b/>
                <w:sz w:val="16"/>
                <w:szCs w:val="16"/>
              </w:rPr>
              <w:t>TEA</w:t>
            </w:r>
            <w:r>
              <w:rPr>
                <w:rFonts w:ascii="Calibri" w:hAnsi="Calibri" w:cs="Calibri"/>
                <w:b/>
                <w:sz w:val="16"/>
                <w:szCs w:val="16"/>
                <w:vertAlign w:val="superscript"/>
              </w:rPr>
              <w:t xml:space="preserve">c </w:t>
            </w:r>
            <w:r w:rsidRPr="00297E16">
              <w:rPr>
                <w:rFonts w:ascii="Calibri" w:hAnsi="Calibri" w:cs="Calibri"/>
                <w:b/>
                <w:sz w:val="16"/>
                <w:szCs w:val="16"/>
              </w:rPr>
              <w:t>(% 95 KT)</w:t>
            </w:r>
          </w:p>
        </w:tc>
        <w:tc>
          <w:tcPr>
            <w:tcW w:w="907" w:type="dxa"/>
            <w:tcBorders>
              <w:left w:val="nil"/>
              <w:bottom w:val="single" w:sz="4" w:space="0" w:color="auto"/>
              <w:right w:val="nil"/>
            </w:tcBorders>
            <w:shd w:val="clear" w:color="auto" w:fill="F2F2F2"/>
            <w:vAlign w:val="center"/>
          </w:tcPr>
          <w:p w:rsidR="00EA1049" w:rsidRPr="00297E16" w:rsidRDefault="00EA1049" w:rsidP="00CC2E2C">
            <w:pPr>
              <w:contextualSpacing/>
              <w:jc w:val="center"/>
              <w:rPr>
                <w:rFonts w:ascii="Calibri" w:hAnsi="Calibri" w:cs="Calibri"/>
                <w:b/>
                <w:sz w:val="16"/>
                <w:szCs w:val="16"/>
              </w:rPr>
            </w:pPr>
            <w:r w:rsidRPr="00297E16">
              <w:rPr>
                <w:rFonts w:ascii="Calibri" w:hAnsi="Calibri" w:cs="Calibri"/>
                <w:b/>
                <w:sz w:val="16"/>
                <w:szCs w:val="16"/>
              </w:rPr>
              <w:t>Kasu kop.</w:t>
            </w:r>
          </w:p>
        </w:tc>
        <w:tc>
          <w:tcPr>
            <w:tcW w:w="737" w:type="dxa"/>
            <w:tcBorders>
              <w:left w:val="nil"/>
              <w:bottom w:val="single" w:sz="4" w:space="0" w:color="auto"/>
              <w:right w:val="nil"/>
            </w:tcBorders>
            <w:shd w:val="clear" w:color="auto" w:fill="F2F2F2"/>
            <w:vAlign w:val="center"/>
          </w:tcPr>
          <w:p w:rsidR="00EA1049" w:rsidRPr="00297E16" w:rsidRDefault="00EA1049" w:rsidP="00CC2E2C">
            <w:pPr>
              <w:contextualSpacing/>
              <w:jc w:val="center"/>
              <w:rPr>
                <w:rFonts w:ascii="Calibri" w:hAnsi="Calibri" w:cs="Calibri"/>
                <w:b/>
                <w:sz w:val="16"/>
                <w:szCs w:val="16"/>
              </w:rPr>
            </w:pPr>
            <w:r w:rsidRPr="00297E16">
              <w:rPr>
                <w:rFonts w:ascii="Calibri" w:hAnsi="Calibri" w:cs="Calibri"/>
                <w:b/>
                <w:sz w:val="16"/>
                <w:szCs w:val="16"/>
              </w:rPr>
              <w:t>Tasa</w:t>
            </w:r>
            <w:r>
              <w:rPr>
                <w:rFonts w:ascii="Calibri" w:hAnsi="Calibri" w:cs="Calibri"/>
                <w:b/>
                <w:sz w:val="16"/>
                <w:szCs w:val="16"/>
                <w:vertAlign w:val="superscript"/>
              </w:rPr>
              <w:t>a</w:t>
            </w:r>
          </w:p>
        </w:tc>
        <w:tc>
          <w:tcPr>
            <w:tcW w:w="737" w:type="dxa"/>
            <w:tcBorders>
              <w:left w:val="nil"/>
              <w:bottom w:val="single" w:sz="4" w:space="0" w:color="auto"/>
              <w:right w:val="nil"/>
            </w:tcBorders>
            <w:shd w:val="clear" w:color="auto" w:fill="F2F2F2"/>
            <w:vAlign w:val="center"/>
          </w:tcPr>
          <w:p w:rsidR="00EA1049" w:rsidRPr="00297E16" w:rsidRDefault="00EA1049" w:rsidP="00CC2E2C">
            <w:pPr>
              <w:contextualSpacing/>
              <w:jc w:val="center"/>
              <w:rPr>
                <w:rFonts w:ascii="Calibri" w:hAnsi="Calibri" w:cs="Calibri"/>
                <w:b/>
                <w:sz w:val="16"/>
                <w:szCs w:val="16"/>
                <w:vertAlign w:val="superscript"/>
              </w:rPr>
            </w:pPr>
            <w:r w:rsidRPr="00297E16">
              <w:rPr>
                <w:rFonts w:ascii="Calibri" w:hAnsi="Calibri" w:cs="Calibri"/>
                <w:b/>
                <w:sz w:val="16"/>
                <w:szCs w:val="16"/>
              </w:rPr>
              <w:t>TE</w:t>
            </w:r>
            <w:r>
              <w:rPr>
                <w:rFonts w:ascii="Calibri" w:hAnsi="Calibri" w:cs="Calibri"/>
                <w:b/>
                <w:sz w:val="16"/>
                <w:szCs w:val="16"/>
                <w:vertAlign w:val="superscript"/>
              </w:rPr>
              <w:t>b</w:t>
            </w:r>
          </w:p>
        </w:tc>
        <w:tc>
          <w:tcPr>
            <w:tcW w:w="1361" w:type="dxa"/>
            <w:gridSpan w:val="2"/>
            <w:tcBorders>
              <w:left w:val="nil"/>
              <w:bottom w:val="single" w:sz="4" w:space="0" w:color="auto"/>
              <w:right w:val="nil"/>
            </w:tcBorders>
            <w:shd w:val="clear" w:color="auto" w:fill="F2F2F2"/>
            <w:vAlign w:val="center"/>
          </w:tcPr>
          <w:p w:rsidR="00EA1049" w:rsidRPr="008663A9" w:rsidRDefault="00EA1049" w:rsidP="00CC2E2C">
            <w:pPr>
              <w:contextualSpacing/>
              <w:jc w:val="center"/>
              <w:rPr>
                <w:rFonts w:ascii="Calibri" w:hAnsi="Calibri" w:cs="Calibri"/>
                <w:b/>
                <w:sz w:val="16"/>
                <w:szCs w:val="16"/>
                <w:vertAlign w:val="superscript"/>
              </w:rPr>
            </w:pPr>
            <w:r w:rsidRPr="00297E16">
              <w:rPr>
                <w:rFonts w:ascii="Calibri" w:hAnsi="Calibri" w:cs="Calibri"/>
                <w:b/>
                <w:sz w:val="16"/>
                <w:szCs w:val="16"/>
              </w:rPr>
              <w:t>TEA</w:t>
            </w:r>
            <w:r>
              <w:rPr>
                <w:rFonts w:ascii="Calibri" w:hAnsi="Calibri" w:cs="Calibri"/>
                <w:b/>
                <w:sz w:val="16"/>
                <w:szCs w:val="16"/>
                <w:vertAlign w:val="superscript"/>
              </w:rPr>
              <w:t xml:space="preserve">c </w:t>
            </w:r>
            <w:r w:rsidRPr="00297E16">
              <w:rPr>
                <w:rFonts w:ascii="Calibri" w:hAnsi="Calibri" w:cs="Calibri"/>
                <w:b/>
                <w:sz w:val="16"/>
                <w:szCs w:val="16"/>
              </w:rPr>
              <w:t>(% 95 KT)</w:t>
            </w:r>
          </w:p>
        </w:tc>
      </w:tr>
      <w:tr w:rsidR="00EA1049" w:rsidRPr="00297E16" w:rsidTr="008470AA">
        <w:tc>
          <w:tcPr>
            <w:tcW w:w="1191" w:type="dxa"/>
            <w:tcBorders>
              <w:left w:val="nil"/>
              <w:bottom w:val="nil"/>
              <w:right w:val="single" w:sz="4" w:space="0" w:color="auto"/>
            </w:tcBorders>
            <w:shd w:val="clear" w:color="auto" w:fill="auto"/>
          </w:tcPr>
          <w:p w:rsidR="00EA1049" w:rsidRPr="00297E16" w:rsidRDefault="00EA1049" w:rsidP="00CC2E2C">
            <w:pPr>
              <w:contextualSpacing/>
              <w:jc w:val="both"/>
              <w:rPr>
                <w:rFonts w:ascii="Calibri" w:hAnsi="Calibri" w:cs="Calibri"/>
                <w:b/>
                <w:sz w:val="16"/>
                <w:szCs w:val="16"/>
              </w:rPr>
            </w:pPr>
            <w:r w:rsidRPr="00297E16">
              <w:rPr>
                <w:rFonts w:ascii="Calibri" w:hAnsi="Calibri" w:cs="Calibri"/>
                <w:b/>
                <w:sz w:val="16"/>
                <w:szCs w:val="16"/>
              </w:rPr>
              <w:t>1 (aberatsena)</w:t>
            </w:r>
          </w:p>
        </w:tc>
        <w:tc>
          <w:tcPr>
            <w:tcW w:w="907" w:type="dxa"/>
            <w:tcBorders>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91</w:t>
            </w:r>
          </w:p>
        </w:tc>
        <w:tc>
          <w:tcPr>
            <w:tcW w:w="737" w:type="dxa"/>
            <w:tcBorders>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15,4</w:t>
            </w:r>
          </w:p>
        </w:tc>
        <w:tc>
          <w:tcPr>
            <w:tcW w:w="737" w:type="dxa"/>
            <w:tcBorders>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16,6</w:t>
            </w:r>
          </w:p>
        </w:tc>
        <w:tc>
          <w:tcPr>
            <w:tcW w:w="1361" w:type="dxa"/>
            <w:tcBorders>
              <w:left w:val="nil"/>
              <w:bottom w:val="nil"/>
              <w:right w:val="single" w:sz="4" w:space="0" w:color="auto"/>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w:t>
            </w:r>
          </w:p>
        </w:tc>
        <w:tc>
          <w:tcPr>
            <w:tcW w:w="907" w:type="dxa"/>
            <w:tcBorders>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77</w:t>
            </w:r>
          </w:p>
        </w:tc>
        <w:tc>
          <w:tcPr>
            <w:tcW w:w="737" w:type="dxa"/>
            <w:tcBorders>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11,8</w:t>
            </w:r>
          </w:p>
        </w:tc>
        <w:tc>
          <w:tcPr>
            <w:tcW w:w="737" w:type="dxa"/>
            <w:tcBorders>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11,9</w:t>
            </w:r>
          </w:p>
        </w:tc>
        <w:tc>
          <w:tcPr>
            <w:tcW w:w="1361" w:type="dxa"/>
            <w:gridSpan w:val="2"/>
            <w:tcBorders>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w:t>
            </w:r>
          </w:p>
        </w:tc>
      </w:tr>
      <w:tr w:rsidR="00EA1049" w:rsidRPr="00297E16" w:rsidTr="008470AA">
        <w:tc>
          <w:tcPr>
            <w:tcW w:w="1191" w:type="dxa"/>
            <w:tcBorders>
              <w:top w:val="nil"/>
              <w:left w:val="nil"/>
              <w:bottom w:val="nil"/>
              <w:right w:val="single" w:sz="4" w:space="0" w:color="auto"/>
            </w:tcBorders>
            <w:shd w:val="clear" w:color="auto" w:fill="auto"/>
          </w:tcPr>
          <w:p w:rsidR="00EA1049" w:rsidRPr="00297E16" w:rsidRDefault="00EA1049" w:rsidP="00CC2E2C">
            <w:pPr>
              <w:contextualSpacing/>
              <w:jc w:val="both"/>
              <w:rPr>
                <w:rFonts w:ascii="Calibri" w:hAnsi="Calibri" w:cs="Calibri"/>
                <w:b/>
                <w:sz w:val="16"/>
                <w:szCs w:val="16"/>
              </w:rPr>
            </w:pPr>
            <w:r w:rsidRPr="00297E16">
              <w:rPr>
                <w:rFonts w:ascii="Calibri" w:hAnsi="Calibri" w:cs="Calibri"/>
                <w:b/>
                <w:sz w:val="16"/>
                <w:szCs w:val="16"/>
              </w:rPr>
              <w:t>2</w:t>
            </w:r>
          </w:p>
        </w:tc>
        <w:tc>
          <w:tcPr>
            <w:tcW w:w="90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139</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18,3</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19,3</w:t>
            </w:r>
          </w:p>
        </w:tc>
        <w:tc>
          <w:tcPr>
            <w:tcW w:w="1361" w:type="dxa"/>
            <w:tcBorders>
              <w:top w:val="nil"/>
              <w:left w:val="nil"/>
              <w:bottom w:val="nil"/>
              <w:right w:val="single" w:sz="4" w:space="0" w:color="auto"/>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1,16 (0,89-1,51)</w:t>
            </w:r>
          </w:p>
        </w:tc>
        <w:tc>
          <w:tcPr>
            <w:tcW w:w="90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113</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14,5</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14,4</w:t>
            </w:r>
          </w:p>
        </w:tc>
        <w:tc>
          <w:tcPr>
            <w:tcW w:w="1361" w:type="dxa"/>
            <w:gridSpan w:val="2"/>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1,21 (0,91-1,62)</w:t>
            </w:r>
          </w:p>
        </w:tc>
      </w:tr>
      <w:tr w:rsidR="00EA1049" w:rsidRPr="00297E16" w:rsidTr="008470AA">
        <w:tc>
          <w:tcPr>
            <w:tcW w:w="1191" w:type="dxa"/>
            <w:tcBorders>
              <w:top w:val="nil"/>
              <w:left w:val="nil"/>
              <w:bottom w:val="nil"/>
              <w:right w:val="single" w:sz="4" w:space="0" w:color="auto"/>
            </w:tcBorders>
            <w:shd w:val="clear" w:color="auto" w:fill="auto"/>
          </w:tcPr>
          <w:p w:rsidR="00EA1049" w:rsidRPr="00297E16" w:rsidRDefault="00EA1049" w:rsidP="00CC2E2C">
            <w:pPr>
              <w:contextualSpacing/>
              <w:jc w:val="both"/>
              <w:rPr>
                <w:rFonts w:ascii="Calibri" w:hAnsi="Calibri" w:cs="Calibri"/>
                <w:b/>
                <w:sz w:val="16"/>
                <w:szCs w:val="16"/>
              </w:rPr>
            </w:pPr>
            <w:r w:rsidRPr="00297E16">
              <w:rPr>
                <w:rFonts w:ascii="Calibri" w:hAnsi="Calibri" w:cs="Calibri"/>
                <w:b/>
                <w:sz w:val="16"/>
                <w:szCs w:val="16"/>
              </w:rPr>
              <w:t>3</w:t>
            </w:r>
          </w:p>
        </w:tc>
        <w:tc>
          <w:tcPr>
            <w:tcW w:w="90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135</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17,8</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18,5</w:t>
            </w:r>
          </w:p>
        </w:tc>
        <w:tc>
          <w:tcPr>
            <w:tcW w:w="1361" w:type="dxa"/>
            <w:tcBorders>
              <w:top w:val="nil"/>
              <w:left w:val="nil"/>
              <w:bottom w:val="nil"/>
              <w:right w:val="single" w:sz="4" w:space="0" w:color="auto"/>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1,11 (0,85-1,45)</w:t>
            </w:r>
          </w:p>
        </w:tc>
        <w:tc>
          <w:tcPr>
            <w:tcW w:w="90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125</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16,3</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16,1</w:t>
            </w:r>
          </w:p>
        </w:tc>
        <w:tc>
          <w:tcPr>
            <w:tcW w:w="1361" w:type="dxa"/>
            <w:gridSpan w:val="2"/>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1,36 (1.02-1,80)</w:t>
            </w:r>
          </w:p>
        </w:tc>
      </w:tr>
      <w:tr w:rsidR="00EA1049" w:rsidRPr="00297E16" w:rsidTr="008470AA">
        <w:tc>
          <w:tcPr>
            <w:tcW w:w="1191" w:type="dxa"/>
            <w:tcBorders>
              <w:top w:val="nil"/>
              <w:left w:val="nil"/>
              <w:bottom w:val="nil"/>
              <w:right w:val="single" w:sz="4" w:space="0" w:color="auto"/>
            </w:tcBorders>
            <w:shd w:val="clear" w:color="auto" w:fill="auto"/>
          </w:tcPr>
          <w:p w:rsidR="00EA1049" w:rsidRPr="00297E16" w:rsidRDefault="00EA1049" w:rsidP="00CC2E2C">
            <w:pPr>
              <w:contextualSpacing/>
              <w:jc w:val="both"/>
              <w:rPr>
                <w:rFonts w:ascii="Calibri" w:hAnsi="Calibri" w:cs="Calibri"/>
                <w:b/>
                <w:sz w:val="16"/>
                <w:szCs w:val="16"/>
              </w:rPr>
            </w:pPr>
            <w:r w:rsidRPr="00297E16">
              <w:rPr>
                <w:rFonts w:ascii="Calibri" w:hAnsi="Calibri" w:cs="Calibri"/>
                <w:b/>
                <w:sz w:val="16"/>
                <w:szCs w:val="16"/>
              </w:rPr>
              <w:t>4</w:t>
            </w:r>
          </w:p>
        </w:tc>
        <w:tc>
          <w:tcPr>
            <w:tcW w:w="90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114</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22,2</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22,8</w:t>
            </w:r>
          </w:p>
        </w:tc>
        <w:tc>
          <w:tcPr>
            <w:tcW w:w="1361" w:type="dxa"/>
            <w:tcBorders>
              <w:top w:val="nil"/>
              <w:left w:val="nil"/>
              <w:bottom w:val="nil"/>
              <w:right w:val="single" w:sz="4" w:space="0" w:color="auto"/>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1,37 (1,03-1,81)</w:t>
            </w:r>
          </w:p>
        </w:tc>
        <w:tc>
          <w:tcPr>
            <w:tcW w:w="90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78</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15,0</w:t>
            </w:r>
          </w:p>
        </w:tc>
        <w:tc>
          <w:tcPr>
            <w:tcW w:w="737" w:type="dxa"/>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14,9</w:t>
            </w:r>
          </w:p>
        </w:tc>
        <w:tc>
          <w:tcPr>
            <w:tcW w:w="1361" w:type="dxa"/>
            <w:gridSpan w:val="2"/>
            <w:tcBorders>
              <w:top w:val="nil"/>
              <w:left w:val="nil"/>
              <w:bottom w:val="nil"/>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1,25 (0,91-1,72)</w:t>
            </w:r>
          </w:p>
        </w:tc>
      </w:tr>
      <w:tr w:rsidR="00EA1049" w:rsidRPr="00297E16" w:rsidTr="008470AA">
        <w:tc>
          <w:tcPr>
            <w:tcW w:w="1191" w:type="dxa"/>
            <w:tcBorders>
              <w:top w:val="nil"/>
              <w:left w:val="nil"/>
              <w:bottom w:val="single" w:sz="4" w:space="0" w:color="auto"/>
              <w:right w:val="single" w:sz="4" w:space="0" w:color="auto"/>
            </w:tcBorders>
            <w:shd w:val="clear" w:color="auto" w:fill="auto"/>
          </w:tcPr>
          <w:p w:rsidR="00EA1049" w:rsidRPr="00297E16" w:rsidRDefault="00EA1049" w:rsidP="00CC2E2C">
            <w:pPr>
              <w:contextualSpacing/>
              <w:jc w:val="both"/>
              <w:rPr>
                <w:rFonts w:ascii="Calibri" w:hAnsi="Calibri" w:cs="Calibri"/>
                <w:b/>
                <w:sz w:val="16"/>
                <w:szCs w:val="16"/>
              </w:rPr>
            </w:pPr>
            <w:r w:rsidRPr="00297E16">
              <w:rPr>
                <w:rFonts w:ascii="Calibri" w:hAnsi="Calibri" w:cs="Calibri"/>
                <w:b/>
                <w:sz w:val="16"/>
                <w:szCs w:val="16"/>
              </w:rPr>
              <w:t>5 (pobreena)</w:t>
            </w:r>
          </w:p>
        </w:tc>
        <w:tc>
          <w:tcPr>
            <w:tcW w:w="907" w:type="dxa"/>
            <w:tcBorders>
              <w:top w:val="nil"/>
              <w:left w:val="nil"/>
              <w:bottom w:val="single" w:sz="4" w:space="0" w:color="auto"/>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77</w:t>
            </w:r>
          </w:p>
        </w:tc>
        <w:tc>
          <w:tcPr>
            <w:tcW w:w="737" w:type="dxa"/>
            <w:tcBorders>
              <w:top w:val="nil"/>
              <w:left w:val="nil"/>
              <w:bottom w:val="single" w:sz="4" w:space="0" w:color="auto"/>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34,9</w:t>
            </w:r>
          </w:p>
        </w:tc>
        <w:tc>
          <w:tcPr>
            <w:tcW w:w="737" w:type="dxa"/>
            <w:tcBorders>
              <w:top w:val="nil"/>
              <w:left w:val="nil"/>
              <w:bottom w:val="single" w:sz="4" w:space="0" w:color="auto"/>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35,8</w:t>
            </w:r>
          </w:p>
        </w:tc>
        <w:tc>
          <w:tcPr>
            <w:tcW w:w="1361" w:type="dxa"/>
            <w:tcBorders>
              <w:top w:val="nil"/>
              <w:left w:val="nil"/>
              <w:bottom w:val="single" w:sz="4" w:space="0" w:color="auto"/>
              <w:right w:val="single" w:sz="4" w:space="0" w:color="auto"/>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2,15 (1,51-3,07)</w:t>
            </w:r>
          </w:p>
        </w:tc>
        <w:tc>
          <w:tcPr>
            <w:tcW w:w="907" w:type="dxa"/>
            <w:tcBorders>
              <w:top w:val="nil"/>
              <w:left w:val="nil"/>
              <w:bottom w:val="single" w:sz="4" w:space="0" w:color="auto"/>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40</w:t>
            </w:r>
          </w:p>
        </w:tc>
        <w:tc>
          <w:tcPr>
            <w:tcW w:w="737" w:type="dxa"/>
            <w:tcBorders>
              <w:top w:val="nil"/>
              <w:left w:val="nil"/>
              <w:bottom w:val="single" w:sz="4" w:space="0" w:color="auto"/>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17,7</w:t>
            </w:r>
          </w:p>
        </w:tc>
        <w:tc>
          <w:tcPr>
            <w:tcW w:w="737" w:type="dxa"/>
            <w:tcBorders>
              <w:top w:val="nil"/>
              <w:left w:val="nil"/>
              <w:bottom w:val="single" w:sz="4" w:space="0" w:color="auto"/>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17,2</w:t>
            </w:r>
          </w:p>
        </w:tc>
        <w:tc>
          <w:tcPr>
            <w:tcW w:w="1361" w:type="dxa"/>
            <w:gridSpan w:val="2"/>
            <w:tcBorders>
              <w:top w:val="nil"/>
              <w:left w:val="nil"/>
              <w:bottom w:val="single" w:sz="4" w:space="0" w:color="auto"/>
              <w:right w:val="nil"/>
            </w:tcBorders>
            <w:shd w:val="clear" w:color="auto" w:fill="auto"/>
          </w:tcPr>
          <w:p w:rsidR="00EA1049" w:rsidRPr="00297E16" w:rsidRDefault="00EA1049" w:rsidP="00CC2E2C">
            <w:pPr>
              <w:contextualSpacing/>
              <w:jc w:val="center"/>
              <w:rPr>
                <w:rFonts w:ascii="Calibri" w:hAnsi="Calibri" w:cs="Calibri"/>
                <w:sz w:val="16"/>
                <w:szCs w:val="16"/>
              </w:rPr>
            </w:pPr>
            <w:r w:rsidRPr="00297E16">
              <w:rPr>
                <w:rFonts w:ascii="Calibri" w:hAnsi="Calibri" w:cs="Calibri"/>
                <w:sz w:val="16"/>
                <w:szCs w:val="16"/>
              </w:rPr>
              <w:t>1,45 (0,95-2,21)</w:t>
            </w:r>
          </w:p>
        </w:tc>
      </w:tr>
      <w:tr w:rsidR="00EA1049" w:rsidRPr="00AF0177" w:rsidTr="008470AA">
        <w:trPr>
          <w:gridAfter w:val="1"/>
          <w:wAfter w:w="770" w:type="dxa"/>
        </w:trPr>
        <w:tc>
          <w:tcPr>
            <w:tcW w:w="7905" w:type="dxa"/>
            <w:gridSpan w:val="9"/>
            <w:tcBorders>
              <w:top w:val="single" w:sz="4" w:space="0" w:color="auto"/>
              <w:left w:val="nil"/>
              <w:bottom w:val="nil"/>
              <w:right w:val="nil"/>
            </w:tcBorders>
            <w:shd w:val="clear" w:color="auto" w:fill="auto"/>
          </w:tcPr>
          <w:p w:rsidR="00EA1049" w:rsidRPr="00297E16" w:rsidRDefault="00EA1049" w:rsidP="00CC2E2C">
            <w:pPr>
              <w:spacing w:after="0"/>
              <w:contextualSpacing/>
              <w:jc w:val="both"/>
              <w:rPr>
                <w:rFonts w:ascii="Calibri" w:hAnsi="Calibri" w:cs="Calibri"/>
                <w:sz w:val="16"/>
                <w:szCs w:val="16"/>
              </w:rPr>
            </w:pPr>
            <w:r w:rsidRPr="00297E16">
              <w:rPr>
                <w:rFonts w:ascii="Calibri" w:hAnsi="Calibri" w:cs="Calibri"/>
                <w:sz w:val="16"/>
                <w:szCs w:val="16"/>
                <w:vertAlign w:val="superscript"/>
              </w:rPr>
              <w:t xml:space="preserve">a </w:t>
            </w:r>
            <w:r w:rsidRPr="00297E16">
              <w:rPr>
                <w:rFonts w:ascii="Calibri" w:hAnsi="Calibri" w:cs="Calibri"/>
                <w:sz w:val="16"/>
                <w:szCs w:val="16"/>
              </w:rPr>
              <w:t>100.000 biztanleko, tasa gordina.</w:t>
            </w:r>
          </w:p>
          <w:p w:rsidR="00EA1049" w:rsidRPr="00297E16" w:rsidRDefault="00EA1049" w:rsidP="00CC2E2C">
            <w:pPr>
              <w:spacing w:after="0"/>
              <w:contextualSpacing/>
              <w:jc w:val="both"/>
              <w:rPr>
                <w:rFonts w:ascii="Calibri" w:hAnsi="Calibri" w:cs="Calibri"/>
                <w:sz w:val="16"/>
                <w:szCs w:val="16"/>
              </w:rPr>
            </w:pPr>
            <w:r w:rsidRPr="00297E16">
              <w:rPr>
                <w:rFonts w:ascii="Calibri" w:hAnsi="Calibri" w:cs="Calibri"/>
                <w:sz w:val="16"/>
                <w:szCs w:val="16"/>
                <w:vertAlign w:val="superscript"/>
              </w:rPr>
              <w:t xml:space="preserve">b </w:t>
            </w:r>
            <w:r w:rsidRPr="00297E16">
              <w:rPr>
                <w:rFonts w:ascii="Calibri" w:hAnsi="Calibri" w:cs="Calibri"/>
                <w:sz w:val="16"/>
                <w:szCs w:val="16"/>
              </w:rPr>
              <w:t xml:space="preserve">TE: Tasa estandarizatua, 2011. urteko EAEko populazioarekin adinaren arabera </w:t>
            </w:r>
          </w:p>
          <w:p w:rsidR="00EA1049" w:rsidRPr="00297E16" w:rsidRDefault="00EA1049" w:rsidP="00CC2E2C">
            <w:pPr>
              <w:spacing w:after="0"/>
              <w:contextualSpacing/>
              <w:jc w:val="both"/>
              <w:rPr>
                <w:rFonts w:ascii="Calibri" w:hAnsi="Calibri" w:cs="Calibri"/>
                <w:sz w:val="16"/>
                <w:szCs w:val="16"/>
              </w:rPr>
            </w:pPr>
            <w:r w:rsidRPr="00297E16">
              <w:rPr>
                <w:rFonts w:ascii="Calibri" w:hAnsi="Calibri" w:cs="Calibri"/>
                <w:sz w:val="16"/>
                <w:szCs w:val="16"/>
                <w:vertAlign w:val="superscript"/>
              </w:rPr>
              <w:t xml:space="preserve">c </w:t>
            </w:r>
            <w:r w:rsidRPr="00297E16">
              <w:rPr>
                <w:rFonts w:ascii="Calibri" w:hAnsi="Calibri" w:cs="Calibri"/>
                <w:sz w:val="16"/>
                <w:szCs w:val="16"/>
              </w:rPr>
              <w:t xml:space="preserve">TEA: Tasa estandarizatuen arrazoia; KT: konfiantza-tartea. </w:t>
            </w:r>
          </w:p>
          <w:p w:rsidR="00EA1049" w:rsidRPr="00297E16" w:rsidRDefault="00EA1049" w:rsidP="00CC2E2C">
            <w:pPr>
              <w:contextualSpacing/>
              <w:jc w:val="both"/>
              <w:rPr>
                <w:rFonts w:ascii="Calibri" w:hAnsi="Calibri" w:cs="Calibri"/>
                <w:sz w:val="16"/>
                <w:szCs w:val="16"/>
                <w:vertAlign w:val="superscript"/>
              </w:rPr>
            </w:pPr>
          </w:p>
          <w:p w:rsidR="00EA1049" w:rsidRPr="00297E16" w:rsidRDefault="00EA1049" w:rsidP="00CC2E2C">
            <w:pPr>
              <w:contextualSpacing/>
              <w:jc w:val="both"/>
              <w:rPr>
                <w:rFonts w:ascii="Calibri" w:hAnsi="Calibri" w:cs="Calibri"/>
                <w:sz w:val="16"/>
                <w:szCs w:val="16"/>
                <w:vertAlign w:val="superscript"/>
              </w:rPr>
            </w:pPr>
          </w:p>
        </w:tc>
      </w:tr>
    </w:tbl>
    <w:p w:rsidR="00EA1049" w:rsidRPr="00FC05F0" w:rsidRDefault="00EA1049" w:rsidP="00CC2E2C">
      <w:pPr>
        <w:contextualSpacing/>
        <w:jc w:val="both"/>
        <w:rPr>
          <w:rFonts w:ascii="Calibri" w:hAnsi="Calibri" w:cs="Calibri"/>
        </w:rPr>
      </w:pPr>
      <w:r w:rsidRPr="00FC05F0">
        <w:rPr>
          <w:rFonts w:ascii="Calibri" w:hAnsi="Calibri" w:cs="Calibri"/>
        </w:rPr>
        <w:t>Emaitzak bere horretan mantentzen dira analisitik atzerrian jaiotako 226 kasuak kentzen direnean, baina esangarritasun estatistiko</w:t>
      </w:r>
      <w:r>
        <w:rPr>
          <w:rFonts w:ascii="Calibri" w:hAnsi="Calibri" w:cs="Calibri"/>
        </w:rPr>
        <w:t>a</w:t>
      </w:r>
      <w:r w:rsidRPr="00FC05F0">
        <w:rPr>
          <w:rFonts w:ascii="Calibri" w:hAnsi="Calibri" w:cs="Calibri"/>
        </w:rPr>
        <w:t xml:space="preserve"> soilik gizonen 5. kintil</w:t>
      </w:r>
      <w:r>
        <w:rPr>
          <w:rFonts w:ascii="Calibri" w:hAnsi="Calibri" w:cs="Calibri"/>
        </w:rPr>
        <w:t>ean</w:t>
      </w:r>
      <w:r w:rsidRPr="00FC05F0">
        <w:rPr>
          <w:rFonts w:ascii="Calibri" w:hAnsi="Calibri" w:cs="Calibri"/>
        </w:rPr>
        <w:t xml:space="preserve"> mantentzen da (aurkeztu gabeko datuak). </w:t>
      </w:r>
    </w:p>
    <w:p w:rsidR="00EA1049" w:rsidRPr="00FC05F0"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sidRPr="00FC05F0">
        <w:rPr>
          <w:rFonts w:ascii="Calibri" w:hAnsi="Calibri" w:cs="Calibri"/>
        </w:rPr>
        <w:t xml:space="preserve">Gaixotasunaren biriketako lokalizazioa duten kasuen artean diagnostikoaren atzerapenak ez du gabezia-mailarekin asoziaziorik erakusten, </w:t>
      </w:r>
      <w:r w:rsidRPr="00313F10">
        <w:rPr>
          <w:rFonts w:ascii="Calibri" w:hAnsi="Calibri" w:cs="Calibri"/>
        </w:rPr>
        <w:t xml:space="preserve">ez aldagai bakarreko analisian ez eta </w:t>
      </w:r>
      <w:r w:rsidRPr="008C19AE">
        <w:rPr>
          <w:rFonts w:ascii="Calibri" w:hAnsi="Calibri" w:cs="Calibri"/>
        </w:rPr>
        <w:t>Cox-en biziraupen-analisia egin</w:t>
      </w:r>
      <w:r>
        <w:rPr>
          <w:rFonts w:ascii="Calibri" w:hAnsi="Calibri" w:cs="Calibri"/>
        </w:rPr>
        <w:t xml:space="preserve"> </w:t>
      </w:r>
      <w:r w:rsidRPr="008C19AE">
        <w:rPr>
          <w:rFonts w:ascii="Calibri" w:hAnsi="Calibri" w:cs="Calibri"/>
        </w:rPr>
        <w:t>da</w:t>
      </w:r>
      <w:r>
        <w:rPr>
          <w:rFonts w:ascii="Calibri" w:hAnsi="Calibri" w:cs="Calibri"/>
        </w:rPr>
        <w:t xml:space="preserve"> ere</w:t>
      </w:r>
      <w:r w:rsidRPr="00FC05F0">
        <w:rPr>
          <w:rFonts w:ascii="Calibri" w:hAnsi="Calibri" w:cs="Calibri"/>
        </w:rPr>
        <w:t xml:space="preserve">. </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Pr>
          <w:rFonts w:ascii="Calibri" w:hAnsi="Calibri" w:cs="Calibri"/>
        </w:rPr>
        <w:t>Tratamenduaren betetzeari dagokionez, berriz, desberdintasunak antzeman dira. Izan ere, atzerrian jaiotakoen artean tratamenduaren betetzea baxuagoa dela ikusi da. Bestalde, aldagai hori erregresio logistikoan sartuta ere, gabezia-indizearen eta tratamendua betetzearen arteko erlazioa antzeman da ere.</w:t>
      </w:r>
    </w:p>
    <w:p w:rsidR="00EA1049" w:rsidRPr="00FC05F0" w:rsidRDefault="00EA1049" w:rsidP="00CC2E2C">
      <w:pPr>
        <w:contextualSpacing/>
        <w:jc w:val="both"/>
        <w:rPr>
          <w:rFonts w:ascii="Calibri" w:hAnsi="Calibri" w:cs="Calibri"/>
        </w:rPr>
      </w:pPr>
    </w:p>
    <w:p w:rsidR="00EA1049" w:rsidRPr="00FC05F0" w:rsidRDefault="00EA1049" w:rsidP="00CC2E2C">
      <w:pPr>
        <w:contextualSpacing/>
        <w:jc w:val="both"/>
        <w:rPr>
          <w:rFonts w:ascii="Calibri" w:hAnsi="Calibri" w:cs="Calibri"/>
        </w:rPr>
      </w:pPr>
      <w:r>
        <w:rPr>
          <w:rFonts w:ascii="Calibri" w:hAnsi="Calibri" w:cs="Calibri"/>
        </w:rPr>
        <w:t>1</w:t>
      </w:r>
      <w:r w:rsidRPr="00FC05F0">
        <w:rPr>
          <w:rFonts w:ascii="Calibri" w:hAnsi="Calibri" w:cs="Calibri"/>
        </w:rPr>
        <w:t xml:space="preserve">. irudian ikusi daitekeen bezala, 2003-2017 denboraldian gabezia-maila guztietan tuberkulosiaren intzidentziaren jaitsiera </w:t>
      </w:r>
      <w:r>
        <w:rPr>
          <w:rFonts w:ascii="Calibri" w:hAnsi="Calibri" w:cs="Calibri"/>
        </w:rPr>
        <w:t>estatistikoki esanguratsua e</w:t>
      </w:r>
      <w:r w:rsidRPr="00FC05F0">
        <w:rPr>
          <w:rFonts w:ascii="Calibri" w:hAnsi="Calibri" w:cs="Calibri"/>
        </w:rPr>
        <w:t xml:space="preserve">man da. Kasuak sexuaren arabera aztertuz gero, berriro ere intzidentziaren jaitsiera </w:t>
      </w:r>
      <w:r>
        <w:rPr>
          <w:rFonts w:ascii="Calibri" w:hAnsi="Calibri" w:cs="Calibri"/>
        </w:rPr>
        <w:t>nabarmena</w:t>
      </w:r>
      <w:r w:rsidRPr="00FC05F0">
        <w:rPr>
          <w:rFonts w:ascii="Calibri" w:hAnsi="Calibri" w:cs="Calibri"/>
        </w:rPr>
        <w:t xml:space="preserve"> da, gizonen kasuan </w:t>
      </w:r>
      <w:r>
        <w:rPr>
          <w:rFonts w:ascii="Calibri" w:hAnsi="Calibri" w:cs="Calibri"/>
        </w:rPr>
        <w:t>joera hori</w:t>
      </w:r>
      <w:r w:rsidRPr="00FC05F0">
        <w:rPr>
          <w:rFonts w:ascii="Calibri" w:hAnsi="Calibri" w:cs="Calibri"/>
        </w:rPr>
        <w:t xml:space="preserve"> esangarria </w:t>
      </w:r>
      <w:r>
        <w:rPr>
          <w:rFonts w:ascii="Calibri" w:hAnsi="Calibri" w:cs="Calibri"/>
        </w:rPr>
        <w:t>izanik</w:t>
      </w:r>
      <w:r w:rsidRPr="00FC05F0">
        <w:rPr>
          <w:rFonts w:ascii="Calibri" w:hAnsi="Calibri" w:cs="Calibri"/>
        </w:rPr>
        <w:t xml:space="preserve"> (aurkeztu gabeko datuak)</w:t>
      </w:r>
      <w:r>
        <w:rPr>
          <w:rFonts w:ascii="Calibri" w:hAnsi="Calibri" w:cs="Calibri"/>
        </w:rPr>
        <w:t>.</w:t>
      </w:r>
    </w:p>
    <w:p w:rsidR="00EA1049" w:rsidRDefault="00EA1049"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CC2E2C" w:rsidRDefault="00CC2E2C" w:rsidP="00CC2E2C">
      <w:pPr>
        <w:contextualSpacing/>
        <w:jc w:val="both"/>
      </w:pPr>
    </w:p>
    <w:p w:rsidR="00EA1049" w:rsidRPr="00BC12FE" w:rsidRDefault="00EA1049" w:rsidP="00CC2E2C">
      <w:pPr>
        <w:contextualSpacing/>
        <w:jc w:val="both"/>
        <w:rPr>
          <w:rFonts w:ascii="Calibri" w:hAnsi="Calibri" w:cs="Calibri"/>
          <w:sz w:val="20"/>
        </w:rPr>
      </w:pPr>
      <w:r w:rsidRPr="00BC12FE">
        <w:rPr>
          <w:rFonts w:ascii="Calibri" w:hAnsi="Calibri" w:cs="Calibri"/>
          <w:b/>
          <w:sz w:val="20"/>
        </w:rPr>
        <w:lastRenderedPageBreak/>
        <w:t>1. irudia</w:t>
      </w:r>
      <w:r w:rsidRPr="00BC12FE">
        <w:rPr>
          <w:rFonts w:ascii="Calibri" w:hAnsi="Calibri" w:cs="Calibri"/>
          <w:sz w:val="20"/>
        </w:rPr>
        <w:t xml:space="preserve">: Tuberkulosiaren tasa estandarizatuen eboluzioa </w:t>
      </w:r>
      <w:r>
        <w:rPr>
          <w:rFonts w:ascii="Calibri" w:hAnsi="Calibri" w:cs="Calibri"/>
          <w:sz w:val="20"/>
        </w:rPr>
        <w:t xml:space="preserve">(Jointpoint) </w:t>
      </w:r>
      <w:r w:rsidRPr="00BC12FE">
        <w:rPr>
          <w:rFonts w:ascii="Calibri" w:hAnsi="Calibri" w:cs="Calibri"/>
          <w:sz w:val="20"/>
        </w:rPr>
        <w:t>gabezia-mailaren arabera. Gipuzkoa, 2003-2017.</w:t>
      </w:r>
    </w:p>
    <w:p w:rsidR="00EA1049" w:rsidRDefault="00EA1049" w:rsidP="00CC2E2C">
      <w:pPr>
        <w:contextualSpacing/>
        <w:rPr>
          <w:rFonts w:ascii="Calibri" w:hAnsi="Calibri" w:cs="Calibri"/>
          <w:b/>
        </w:rPr>
      </w:pPr>
      <w:r w:rsidRPr="00BA67AD">
        <w:rPr>
          <w:noProof/>
          <w:lang w:val="en-US"/>
        </w:rPr>
        <mc:AlternateContent>
          <mc:Choice Requires="wps">
            <w:drawing>
              <wp:anchor distT="0" distB="0" distL="114300" distR="114300" simplePos="0" relativeHeight="251661312" behindDoc="0" locked="0" layoutInCell="1" allowOverlap="1" wp14:anchorId="253015F8" wp14:editId="40C78E61">
                <wp:simplePos x="0" y="0"/>
                <wp:positionH relativeFrom="column">
                  <wp:posOffset>3959225</wp:posOffset>
                </wp:positionH>
                <wp:positionV relativeFrom="paragraph">
                  <wp:posOffset>434653</wp:posOffset>
                </wp:positionV>
                <wp:extent cx="1414145" cy="796290"/>
                <wp:effectExtent l="0" t="0" r="0" b="0"/>
                <wp:wrapNone/>
                <wp:docPr id="5" name="4 CuadroTexto"/>
                <wp:cNvGraphicFramePr/>
                <a:graphic xmlns:a="http://schemas.openxmlformats.org/drawingml/2006/main">
                  <a:graphicData uri="http://schemas.microsoft.com/office/word/2010/wordprocessingShape">
                    <wps:wsp>
                      <wps:cNvSpPr txBox="1"/>
                      <wps:spPr>
                        <a:xfrm>
                          <a:off x="0" y="0"/>
                          <a:ext cx="1414145" cy="796290"/>
                        </a:xfrm>
                        <a:prstGeom prst="rect">
                          <a:avLst/>
                        </a:prstGeom>
                        <a:noFill/>
                        <a:ln>
                          <a:noFill/>
                        </a:ln>
                        <a:effectLst/>
                      </wps:spPr>
                      <wps:txbx>
                        <w:txbxContent>
                          <w:p w:rsidR="00EA1049" w:rsidRPr="00C67ABA" w:rsidRDefault="00EA1049" w:rsidP="00EA1049">
                            <w:pPr>
                              <w:pStyle w:val="NormalWeb"/>
                              <w:spacing w:before="0" w:beforeAutospacing="0" w:after="0" w:afterAutospacing="0"/>
                              <w:rPr>
                                <w:color w:val="0070C0"/>
                                <w:sz w:val="16"/>
                                <w:szCs w:val="16"/>
                              </w:rPr>
                            </w:pPr>
                            <w:r w:rsidRPr="00C67ABA">
                              <w:rPr>
                                <w:rFonts w:ascii="Calibri" w:eastAsia="+mn-ea" w:hAnsi="Calibri" w:cs="+mn-cs"/>
                                <w:b/>
                                <w:bCs/>
                                <w:color w:val="0070C0"/>
                                <w:sz w:val="16"/>
                                <w:szCs w:val="16"/>
                                <w:lang w:val="en-GB"/>
                              </w:rPr>
                              <w:t>K1 (UAP): -4</w:t>
                            </w:r>
                            <w:proofErr w:type="gramStart"/>
                            <w:r w:rsidRPr="00C67ABA">
                              <w:rPr>
                                <w:rFonts w:ascii="Calibri" w:eastAsia="+mn-ea" w:hAnsi="Calibri" w:cs="+mn-cs"/>
                                <w:b/>
                                <w:bCs/>
                                <w:color w:val="0070C0"/>
                                <w:sz w:val="16"/>
                                <w:szCs w:val="16"/>
                                <w:lang w:val="en-GB"/>
                              </w:rPr>
                              <w:t>,3</w:t>
                            </w:r>
                            <w:proofErr w:type="gramEnd"/>
                            <w:r w:rsidRPr="00C67ABA">
                              <w:rPr>
                                <w:rFonts w:ascii="Calibri" w:eastAsia="+mn-ea" w:hAnsi="Calibri" w:cs="+mn-cs"/>
                                <w:b/>
                                <w:bCs/>
                                <w:color w:val="0070C0"/>
                                <w:sz w:val="16"/>
                                <w:szCs w:val="16"/>
                                <w:lang w:val="en-GB"/>
                              </w:rPr>
                              <w:t xml:space="preserve"> (-1,4/-7,3)</w:t>
                            </w:r>
                          </w:p>
                          <w:p w:rsidR="00EA1049" w:rsidRPr="00C67ABA" w:rsidRDefault="00EA1049" w:rsidP="00EA1049">
                            <w:pPr>
                              <w:pStyle w:val="NormalWeb"/>
                              <w:spacing w:before="0" w:beforeAutospacing="0" w:after="0" w:afterAutospacing="0"/>
                              <w:rPr>
                                <w:color w:val="6E548D"/>
                                <w:sz w:val="16"/>
                                <w:szCs w:val="16"/>
                              </w:rPr>
                            </w:pPr>
                            <w:r w:rsidRPr="00C67ABA">
                              <w:rPr>
                                <w:rFonts w:ascii="Calibri" w:eastAsia="+mn-ea" w:hAnsi="Calibri" w:cs="+mn-cs"/>
                                <w:b/>
                                <w:bCs/>
                                <w:color w:val="6E548D"/>
                                <w:sz w:val="16"/>
                                <w:szCs w:val="16"/>
                                <w:lang w:val="en-GB"/>
                              </w:rPr>
                              <w:t>K2 (UAP): -6</w:t>
                            </w:r>
                            <w:proofErr w:type="gramStart"/>
                            <w:r w:rsidRPr="00C67ABA">
                              <w:rPr>
                                <w:rFonts w:ascii="Calibri" w:eastAsia="+mn-ea" w:hAnsi="Calibri" w:cs="+mn-cs"/>
                                <w:b/>
                                <w:bCs/>
                                <w:color w:val="6E548D"/>
                                <w:sz w:val="16"/>
                                <w:szCs w:val="16"/>
                                <w:lang w:val="en-GB"/>
                              </w:rPr>
                              <w:t>,2</w:t>
                            </w:r>
                            <w:proofErr w:type="gramEnd"/>
                            <w:r w:rsidRPr="00C67ABA">
                              <w:rPr>
                                <w:rFonts w:ascii="Calibri" w:eastAsia="+mn-ea" w:hAnsi="Calibri" w:cs="+mn-cs"/>
                                <w:b/>
                                <w:bCs/>
                                <w:color w:val="6E548D"/>
                                <w:sz w:val="16"/>
                                <w:szCs w:val="16"/>
                                <w:lang w:val="en-GB"/>
                              </w:rPr>
                              <w:t xml:space="preserve"> (-5,2/-7,2)</w:t>
                            </w:r>
                          </w:p>
                          <w:p w:rsidR="00EA1049" w:rsidRPr="00C67ABA" w:rsidRDefault="00EA1049" w:rsidP="00EA1049">
                            <w:pPr>
                              <w:pStyle w:val="NormalWeb"/>
                              <w:spacing w:before="0" w:beforeAutospacing="0" w:after="0" w:afterAutospacing="0"/>
                              <w:rPr>
                                <w:color w:val="92D050"/>
                                <w:sz w:val="16"/>
                                <w:szCs w:val="16"/>
                              </w:rPr>
                            </w:pPr>
                            <w:r w:rsidRPr="00C67ABA">
                              <w:rPr>
                                <w:rFonts w:ascii="Calibri" w:eastAsia="+mn-ea" w:hAnsi="Calibri" w:cs="+mn-cs"/>
                                <w:b/>
                                <w:bCs/>
                                <w:color w:val="92D050"/>
                                <w:sz w:val="16"/>
                                <w:szCs w:val="16"/>
                                <w:lang w:val="en-GB"/>
                              </w:rPr>
                              <w:t>K3 (UAP): -4</w:t>
                            </w:r>
                            <w:proofErr w:type="gramStart"/>
                            <w:r w:rsidRPr="00C67ABA">
                              <w:rPr>
                                <w:rFonts w:ascii="Calibri" w:eastAsia="+mn-ea" w:hAnsi="Calibri" w:cs="+mn-cs"/>
                                <w:b/>
                                <w:bCs/>
                                <w:color w:val="92D050"/>
                                <w:sz w:val="16"/>
                                <w:szCs w:val="16"/>
                                <w:lang w:val="en-GB"/>
                              </w:rPr>
                              <w:t>,0</w:t>
                            </w:r>
                            <w:proofErr w:type="gramEnd"/>
                            <w:r w:rsidRPr="00C67ABA">
                              <w:rPr>
                                <w:rFonts w:ascii="Calibri" w:eastAsia="+mn-ea" w:hAnsi="Calibri" w:cs="+mn-cs"/>
                                <w:b/>
                                <w:bCs/>
                                <w:color w:val="92D050"/>
                                <w:sz w:val="16"/>
                                <w:szCs w:val="16"/>
                                <w:lang w:val="en-GB"/>
                              </w:rPr>
                              <w:t xml:space="preserve"> (-1,4/-4,6)</w:t>
                            </w:r>
                          </w:p>
                          <w:p w:rsidR="00EA1049" w:rsidRPr="00C67ABA" w:rsidRDefault="00EA1049" w:rsidP="00EA1049">
                            <w:pPr>
                              <w:pStyle w:val="NormalWeb"/>
                              <w:spacing w:before="0" w:beforeAutospacing="0" w:after="0" w:afterAutospacing="0"/>
                              <w:rPr>
                                <w:sz w:val="16"/>
                                <w:szCs w:val="16"/>
                              </w:rPr>
                            </w:pPr>
                            <w:r w:rsidRPr="00C67ABA">
                              <w:rPr>
                                <w:rFonts w:ascii="Calibri" w:eastAsia="+mn-ea" w:hAnsi="Calibri" w:cs="+mn-cs"/>
                                <w:b/>
                                <w:bCs/>
                                <w:color w:val="C00000"/>
                                <w:sz w:val="16"/>
                                <w:szCs w:val="16"/>
                                <w:lang w:val="es-ES"/>
                              </w:rPr>
                              <w:t>K4 (UAP): -4,5 (-2,1/-6,8)</w:t>
                            </w:r>
                          </w:p>
                          <w:p w:rsidR="00EA1049" w:rsidRPr="00C67ABA" w:rsidRDefault="00EA1049" w:rsidP="00EA1049">
                            <w:pPr>
                              <w:pStyle w:val="NormalWeb"/>
                              <w:spacing w:before="0" w:beforeAutospacing="0" w:after="0" w:afterAutospacing="0"/>
                              <w:rPr>
                                <w:color w:val="00B0F0"/>
                                <w:sz w:val="16"/>
                                <w:szCs w:val="16"/>
                              </w:rPr>
                            </w:pPr>
                            <w:r w:rsidRPr="00C67ABA">
                              <w:rPr>
                                <w:rFonts w:ascii="Calibri" w:eastAsia="+mn-ea" w:hAnsi="Calibri" w:cs="+mn-cs"/>
                                <w:b/>
                                <w:bCs/>
                                <w:color w:val="00B0F0"/>
                                <w:sz w:val="16"/>
                                <w:szCs w:val="16"/>
                                <w:lang w:val="es-ES"/>
                              </w:rPr>
                              <w:t>K5 (UAP): -3,9 (-0,7/-7,0)</w:t>
                            </w:r>
                          </w:p>
                        </w:txbxContent>
                      </wps:txbx>
                      <wps:bodyPr vertOverflow="clip" horzOverflow="clip" wrap="none" rtlCol="0" anchor="t">
                        <a:spAutoFit/>
                      </wps:bodyPr>
                    </wps:wsp>
                  </a:graphicData>
                </a:graphic>
              </wp:anchor>
            </w:drawing>
          </mc:Choice>
          <mc:Fallback>
            <w:pict>
              <v:shapetype id="_x0000_t202" coordsize="21600,21600" o:spt="202" path="m,l,21600r21600,l21600,xe">
                <v:stroke joinstyle="miter"/>
                <v:path gradientshapeok="t" o:connecttype="rect"/>
              </v:shapetype>
              <v:shape id="4 CuadroTexto" o:spid="_x0000_s1026" type="#_x0000_t202" style="position:absolute;margin-left:311.75pt;margin-top:34.2pt;width:111.35pt;height:62.7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SyuwEAAGgDAAAOAAAAZHJzL2Uyb0RvYy54bWysU9tu2zAMfR/QfxD03jgN2m41ohS9oHsZ&#10;1gHtPkCRpViAJAqUEjv7+lFymm7tW1EYoC3yiDyHpJfXo3dspzFZCIKfzeac6aCgs2Ej+O/nh9Nv&#10;nKUsQycdBC34Xid+vTr5shxiqxfQg+s0MkoSUjtEwfucY9s0SfXayzSDqAMFDaCXmY64aTqUA2X3&#10;rlnM55fNANhFBKVTIu/9FOSrmt8YrfKjMUln5gQnbrlarHZdbLNaynaDMvZWHWjID7Dw0gYqekx1&#10;L7NkW7TvUnmrEBKYPFPgGzDGKl01kJqz+Rs1T72Mumqh5qR4bFP6vLTq5+4XMtsJfsFZkJ5GdM7u&#10;trJDeNZjhtKgIaaWcE+RkHm8hZEG/eJP5Cy6R4O+vEkRozi1en9sL+Vhqlw6Lw/VURT7enW5uKr9&#10;b15vR0z5uwbPyofgSOOrXZW7HykTE4K+QEqxAA/WuTpCF/5zEHDy6LoDh9tFyES4fOVxPR7UraHb&#10;kzja4/xIxjgYBFfORs56wD9vfQPti+CBFpozzO4OpuWSQRFa8IlzijfbTAQr71JvKkIiyoHGWeUc&#10;Vq/sy7/ninr9QVZ/AQAA//8DAFBLAwQUAAYACAAAACEAan2eu90AAAAKAQAADwAAAGRycy9kb3du&#10;cmV2LnhtbEyPwU7DMAyG70i8Q2Qkbixd11VZaTqhAWdg8ABZY9rSxqmabCs8PebEbrb86ff3l9vZ&#10;DeKEU+g8aVguEhBItbcdNRo+3p/vFIgQDVkzeEIN3xhgW11flaaw/kxveNrHRnAIhcJoaGMcCylD&#10;3aIzYeFHJL59+smZyOvUSDuZM4e7QaZJkktnOuIPrRlx12Ld749Og0rcS99v0tfgsp/lut09+qfx&#10;S+vbm/nhHkTEOf7D8KfP6lCx08EfyQYxaMjT1ZpRHlQGggGV5SmIA5OblQJZlfKyQvULAAD//wMA&#10;UEsBAi0AFAAGAAgAAAAhALaDOJL+AAAA4QEAABMAAAAAAAAAAAAAAAAAAAAAAFtDb250ZW50X1R5&#10;cGVzXS54bWxQSwECLQAUAAYACAAAACEAOP0h/9YAAACUAQAACwAAAAAAAAAAAAAAAAAvAQAAX3Jl&#10;bHMvLnJlbHNQSwECLQAUAAYACAAAACEAfKTEsrsBAABoAwAADgAAAAAAAAAAAAAAAAAuAgAAZHJz&#10;L2Uyb0RvYy54bWxQSwECLQAUAAYACAAAACEAan2eu90AAAAKAQAADwAAAAAAAAAAAAAAAAAVBAAA&#10;ZHJzL2Rvd25yZXYueG1sUEsFBgAAAAAEAAQA8wAAAB8FAAAAAA==&#10;" filled="f" stroked="f">
                <v:textbox style="mso-fit-shape-to-text:t">
                  <w:txbxContent>
                    <w:p w:rsidR="00EA1049" w:rsidRPr="00C67ABA" w:rsidRDefault="00EA1049" w:rsidP="00EA1049">
                      <w:pPr>
                        <w:pStyle w:val="NormalWeb"/>
                        <w:spacing w:before="0" w:beforeAutospacing="0" w:after="0" w:afterAutospacing="0"/>
                        <w:rPr>
                          <w:color w:val="0070C0"/>
                          <w:sz w:val="16"/>
                          <w:szCs w:val="16"/>
                        </w:rPr>
                      </w:pPr>
                      <w:r w:rsidRPr="00C67ABA">
                        <w:rPr>
                          <w:rFonts w:ascii="Calibri" w:eastAsia="+mn-ea" w:hAnsi="Calibri" w:cs="+mn-cs"/>
                          <w:b/>
                          <w:bCs/>
                          <w:color w:val="0070C0"/>
                          <w:sz w:val="16"/>
                          <w:szCs w:val="16"/>
                          <w:lang w:val="en-GB"/>
                        </w:rPr>
                        <w:t>K1 (UAP): -4</w:t>
                      </w:r>
                      <w:proofErr w:type="gramStart"/>
                      <w:r w:rsidRPr="00C67ABA">
                        <w:rPr>
                          <w:rFonts w:ascii="Calibri" w:eastAsia="+mn-ea" w:hAnsi="Calibri" w:cs="+mn-cs"/>
                          <w:b/>
                          <w:bCs/>
                          <w:color w:val="0070C0"/>
                          <w:sz w:val="16"/>
                          <w:szCs w:val="16"/>
                          <w:lang w:val="en-GB"/>
                        </w:rPr>
                        <w:t>,3</w:t>
                      </w:r>
                      <w:proofErr w:type="gramEnd"/>
                      <w:r w:rsidRPr="00C67ABA">
                        <w:rPr>
                          <w:rFonts w:ascii="Calibri" w:eastAsia="+mn-ea" w:hAnsi="Calibri" w:cs="+mn-cs"/>
                          <w:b/>
                          <w:bCs/>
                          <w:color w:val="0070C0"/>
                          <w:sz w:val="16"/>
                          <w:szCs w:val="16"/>
                          <w:lang w:val="en-GB"/>
                        </w:rPr>
                        <w:t xml:space="preserve"> (-1,4/-7,3)</w:t>
                      </w:r>
                    </w:p>
                    <w:p w:rsidR="00EA1049" w:rsidRPr="00C67ABA" w:rsidRDefault="00EA1049" w:rsidP="00EA1049">
                      <w:pPr>
                        <w:pStyle w:val="NormalWeb"/>
                        <w:spacing w:before="0" w:beforeAutospacing="0" w:after="0" w:afterAutospacing="0"/>
                        <w:rPr>
                          <w:color w:val="6E548D"/>
                          <w:sz w:val="16"/>
                          <w:szCs w:val="16"/>
                        </w:rPr>
                      </w:pPr>
                      <w:r w:rsidRPr="00C67ABA">
                        <w:rPr>
                          <w:rFonts w:ascii="Calibri" w:eastAsia="+mn-ea" w:hAnsi="Calibri" w:cs="+mn-cs"/>
                          <w:b/>
                          <w:bCs/>
                          <w:color w:val="6E548D"/>
                          <w:sz w:val="16"/>
                          <w:szCs w:val="16"/>
                          <w:lang w:val="en-GB"/>
                        </w:rPr>
                        <w:t>K2 (UAP): -6</w:t>
                      </w:r>
                      <w:proofErr w:type="gramStart"/>
                      <w:r w:rsidRPr="00C67ABA">
                        <w:rPr>
                          <w:rFonts w:ascii="Calibri" w:eastAsia="+mn-ea" w:hAnsi="Calibri" w:cs="+mn-cs"/>
                          <w:b/>
                          <w:bCs/>
                          <w:color w:val="6E548D"/>
                          <w:sz w:val="16"/>
                          <w:szCs w:val="16"/>
                          <w:lang w:val="en-GB"/>
                        </w:rPr>
                        <w:t>,2</w:t>
                      </w:r>
                      <w:proofErr w:type="gramEnd"/>
                      <w:r w:rsidRPr="00C67ABA">
                        <w:rPr>
                          <w:rFonts w:ascii="Calibri" w:eastAsia="+mn-ea" w:hAnsi="Calibri" w:cs="+mn-cs"/>
                          <w:b/>
                          <w:bCs/>
                          <w:color w:val="6E548D"/>
                          <w:sz w:val="16"/>
                          <w:szCs w:val="16"/>
                          <w:lang w:val="en-GB"/>
                        </w:rPr>
                        <w:t xml:space="preserve"> (-5,2/-7,2)</w:t>
                      </w:r>
                    </w:p>
                    <w:p w:rsidR="00EA1049" w:rsidRPr="00C67ABA" w:rsidRDefault="00EA1049" w:rsidP="00EA1049">
                      <w:pPr>
                        <w:pStyle w:val="NormalWeb"/>
                        <w:spacing w:before="0" w:beforeAutospacing="0" w:after="0" w:afterAutospacing="0"/>
                        <w:rPr>
                          <w:color w:val="92D050"/>
                          <w:sz w:val="16"/>
                          <w:szCs w:val="16"/>
                        </w:rPr>
                      </w:pPr>
                      <w:r w:rsidRPr="00C67ABA">
                        <w:rPr>
                          <w:rFonts w:ascii="Calibri" w:eastAsia="+mn-ea" w:hAnsi="Calibri" w:cs="+mn-cs"/>
                          <w:b/>
                          <w:bCs/>
                          <w:color w:val="92D050"/>
                          <w:sz w:val="16"/>
                          <w:szCs w:val="16"/>
                          <w:lang w:val="en-GB"/>
                        </w:rPr>
                        <w:t>K3 (UAP): -4</w:t>
                      </w:r>
                      <w:proofErr w:type="gramStart"/>
                      <w:r w:rsidRPr="00C67ABA">
                        <w:rPr>
                          <w:rFonts w:ascii="Calibri" w:eastAsia="+mn-ea" w:hAnsi="Calibri" w:cs="+mn-cs"/>
                          <w:b/>
                          <w:bCs/>
                          <w:color w:val="92D050"/>
                          <w:sz w:val="16"/>
                          <w:szCs w:val="16"/>
                          <w:lang w:val="en-GB"/>
                        </w:rPr>
                        <w:t>,0</w:t>
                      </w:r>
                      <w:proofErr w:type="gramEnd"/>
                      <w:r w:rsidRPr="00C67ABA">
                        <w:rPr>
                          <w:rFonts w:ascii="Calibri" w:eastAsia="+mn-ea" w:hAnsi="Calibri" w:cs="+mn-cs"/>
                          <w:b/>
                          <w:bCs/>
                          <w:color w:val="92D050"/>
                          <w:sz w:val="16"/>
                          <w:szCs w:val="16"/>
                          <w:lang w:val="en-GB"/>
                        </w:rPr>
                        <w:t xml:space="preserve"> (-1,4/-4,6)</w:t>
                      </w:r>
                    </w:p>
                    <w:p w:rsidR="00EA1049" w:rsidRPr="00C67ABA" w:rsidRDefault="00EA1049" w:rsidP="00EA1049">
                      <w:pPr>
                        <w:pStyle w:val="NormalWeb"/>
                        <w:spacing w:before="0" w:beforeAutospacing="0" w:after="0" w:afterAutospacing="0"/>
                        <w:rPr>
                          <w:sz w:val="16"/>
                          <w:szCs w:val="16"/>
                        </w:rPr>
                      </w:pPr>
                      <w:r w:rsidRPr="00C67ABA">
                        <w:rPr>
                          <w:rFonts w:ascii="Calibri" w:eastAsia="+mn-ea" w:hAnsi="Calibri" w:cs="+mn-cs"/>
                          <w:b/>
                          <w:bCs/>
                          <w:color w:val="C00000"/>
                          <w:sz w:val="16"/>
                          <w:szCs w:val="16"/>
                          <w:lang w:val="es-ES"/>
                        </w:rPr>
                        <w:t>K4 (UAP): -4,5 (-2,1/-6,8)</w:t>
                      </w:r>
                    </w:p>
                    <w:p w:rsidR="00EA1049" w:rsidRPr="00C67ABA" w:rsidRDefault="00EA1049" w:rsidP="00EA1049">
                      <w:pPr>
                        <w:pStyle w:val="NormalWeb"/>
                        <w:spacing w:before="0" w:beforeAutospacing="0" w:after="0" w:afterAutospacing="0"/>
                        <w:rPr>
                          <w:color w:val="00B0F0"/>
                          <w:sz w:val="16"/>
                          <w:szCs w:val="16"/>
                        </w:rPr>
                      </w:pPr>
                      <w:r w:rsidRPr="00C67ABA">
                        <w:rPr>
                          <w:rFonts w:ascii="Calibri" w:eastAsia="+mn-ea" w:hAnsi="Calibri" w:cs="+mn-cs"/>
                          <w:b/>
                          <w:bCs/>
                          <w:color w:val="00B0F0"/>
                          <w:sz w:val="16"/>
                          <w:szCs w:val="16"/>
                          <w:lang w:val="es-ES"/>
                        </w:rPr>
                        <w:t>K5 (UAP): -3,9 (-0,7/-7,0)</w:t>
                      </w:r>
                    </w:p>
                  </w:txbxContent>
                </v:textbox>
              </v:shape>
            </w:pict>
          </mc:Fallback>
        </mc:AlternateContent>
      </w:r>
      <w:r w:rsidRPr="00BA67AD">
        <w:rPr>
          <w:noProof/>
          <w:lang w:val="en-US"/>
        </w:rPr>
        <w:drawing>
          <wp:inline distT="0" distB="0" distL="0" distR="0" wp14:anchorId="42ADFD6C" wp14:editId="27DFFE70">
            <wp:extent cx="5471769" cy="3372307"/>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A1049" w:rsidRPr="00077051" w:rsidRDefault="00EA1049" w:rsidP="00CC2E2C">
      <w:pPr>
        <w:contextualSpacing/>
        <w:jc w:val="both"/>
        <w:rPr>
          <w:rFonts w:ascii="Calibri" w:hAnsi="Calibri" w:cs="Calibri"/>
          <w:sz w:val="14"/>
          <w:szCs w:val="14"/>
        </w:rPr>
      </w:pPr>
      <w:r w:rsidRPr="00077051">
        <w:rPr>
          <w:rFonts w:ascii="Calibri" w:hAnsi="Calibri" w:cs="Calibri"/>
          <w:sz w:val="16"/>
        </w:rPr>
        <w:t>*</w:t>
      </w:r>
      <w:r>
        <w:rPr>
          <w:rFonts w:ascii="Calibri" w:hAnsi="Calibri" w:cs="Calibri"/>
          <w:sz w:val="16"/>
        </w:rPr>
        <w:t>K: Kintila;</w:t>
      </w:r>
      <w:r w:rsidRPr="00077051">
        <w:rPr>
          <w:rFonts w:ascii="Calibri" w:hAnsi="Calibri" w:cs="Calibri"/>
          <w:sz w:val="16"/>
        </w:rPr>
        <w:t xml:space="preserve"> </w:t>
      </w:r>
      <w:r>
        <w:rPr>
          <w:rFonts w:ascii="Calibri" w:hAnsi="Calibri" w:cs="Calibri"/>
          <w:sz w:val="16"/>
        </w:rPr>
        <w:t xml:space="preserve">UAP: Urteko aldaketa portzentaia; </w:t>
      </w:r>
      <w:r w:rsidRPr="00077051">
        <w:rPr>
          <w:rFonts w:ascii="Calibri" w:hAnsi="Calibri" w:cs="Calibri"/>
          <w:sz w:val="16"/>
        </w:rPr>
        <w:t>TE: Tasa estandarizatua, 2011. urteko EAEko populazioarekin adinaren arabera</w:t>
      </w:r>
      <w:r>
        <w:rPr>
          <w:rFonts w:ascii="Calibri" w:hAnsi="Calibri" w:cs="Calibri"/>
          <w:sz w:val="16"/>
        </w:rPr>
        <w:t xml:space="preserve">; </w:t>
      </w:r>
      <w:r w:rsidRPr="00077051">
        <w:rPr>
          <w:rFonts w:ascii="Calibri" w:hAnsi="Calibri" w:cs="Calibri"/>
          <w:sz w:val="16"/>
        </w:rPr>
        <w:t>JP: Jointpoint</w:t>
      </w:r>
    </w:p>
    <w:p w:rsidR="00EA1049" w:rsidRDefault="00EA1049" w:rsidP="00CC2E2C">
      <w:pPr>
        <w:contextualSpacing/>
        <w:rPr>
          <w:rFonts w:ascii="Calibri" w:hAnsi="Calibri" w:cs="Calibri"/>
          <w:b/>
        </w:rPr>
      </w:pPr>
    </w:p>
    <w:p w:rsidR="00EA1049" w:rsidRPr="00FC05F0" w:rsidRDefault="00EA1049" w:rsidP="00CC2E2C">
      <w:pPr>
        <w:contextualSpacing/>
        <w:jc w:val="both"/>
        <w:rPr>
          <w:rFonts w:ascii="Calibri" w:hAnsi="Calibri" w:cs="Calibri"/>
        </w:rPr>
      </w:pPr>
      <w:r w:rsidRPr="00FC05F0">
        <w:rPr>
          <w:rFonts w:ascii="Calibri" w:hAnsi="Calibri" w:cs="Calibri"/>
        </w:rPr>
        <w:t>2003. urteko tasa estandarizatuen arrazoiak 20</w:t>
      </w:r>
      <w:r>
        <w:rPr>
          <w:rFonts w:ascii="Calibri" w:hAnsi="Calibri" w:cs="Calibri"/>
        </w:rPr>
        <w:t>17koekin alderatuz gero, ikusten da</w:t>
      </w:r>
      <w:r w:rsidRPr="00FC05F0">
        <w:rPr>
          <w:rFonts w:ascii="Calibri" w:hAnsi="Calibri" w:cs="Calibri"/>
        </w:rPr>
        <w:t xml:space="preserve"> azterturiko lau kintiletan (2.etik 5.era, 1.a erreferentzia izanik) arrazoi hau gutxitu egin dela, jaitsiera handiena 4. eta 5. kintiletan eman delarik, </w:t>
      </w:r>
      <w:r>
        <w:rPr>
          <w:rFonts w:ascii="Calibri" w:hAnsi="Calibri" w:cs="Calibri"/>
        </w:rPr>
        <w:t>(</w:t>
      </w:r>
      <w:r w:rsidRPr="00FC05F0">
        <w:rPr>
          <w:rFonts w:ascii="Calibri" w:hAnsi="Calibri" w:cs="Calibri"/>
        </w:rPr>
        <w:t>2,1etik 1,2ra eta 2,5etik 1,5era , hurrenez hurren</w:t>
      </w:r>
      <w:r>
        <w:rPr>
          <w:rFonts w:ascii="Calibri" w:hAnsi="Calibri" w:cs="Calibri"/>
        </w:rPr>
        <w:t>)</w:t>
      </w:r>
      <w:r w:rsidRPr="00FC05F0">
        <w:rPr>
          <w:rFonts w:ascii="Calibri" w:hAnsi="Calibri" w:cs="Calibri"/>
        </w:rPr>
        <w:t>.</w:t>
      </w:r>
    </w:p>
    <w:p w:rsidR="00EA1049" w:rsidRDefault="00EA1049" w:rsidP="00CC2E2C">
      <w:pPr>
        <w:contextualSpacing/>
        <w:jc w:val="both"/>
        <w:rPr>
          <w:rFonts w:ascii="Calibri" w:hAnsi="Calibri" w:cs="Calibri"/>
        </w:rPr>
      </w:pPr>
    </w:p>
    <w:p w:rsidR="00EA1049" w:rsidRPr="00BC12FE" w:rsidRDefault="00EA1049" w:rsidP="00CC2E2C">
      <w:pPr>
        <w:contextualSpacing/>
        <w:jc w:val="both"/>
        <w:rPr>
          <w:rFonts w:ascii="Calibri" w:hAnsi="Calibri" w:cs="Calibri"/>
          <w:sz w:val="20"/>
        </w:rPr>
      </w:pPr>
      <w:r w:rsidRPr="00BC12FE">
        <w:rPr>
          <w:rFonts w:ascii="Calibri" w:hAnsi="Calibri" w:cs="Calibri"/>
          <w:b/>
          <w:sz w:val="20"/>
        </w:rPr>
        <w:t>3. taula</w:t>
      </w:r>
      <w:r w:rsidRPr="00BC12FE">
        <w:rPr>
          <w:rFonts w:ascii="Calibri" w:hAnsi="Calibri" w:cs="Calibri"/>
          <w:sz w:val="20"/>
        </w:rPr>
        <w:t>: Tuberkulosi kasu kopurua, tasa estandarizatua eta tasa estandarizatuen arrazoia gabezia mailaren arabera. Gipuzkoa, 2003 eta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907"/>
        <w:gridCol w:w="850"/>
        <w:gridCol w:w="850"/>
        <w:gridCol w:w="1135"/>
        <w:gridCol w:w="907"/>
        <w:gridCol w:w="850"/>
        <w:gridCol w:w="850"/>
        <w:gridCol w:w="1136"/>
      </w:tblGrid>
      <w:tr w:rsidR="00EA1049" w:rsidRPr="009F3054" w:rsidTr="008470AA">
        <w:trPr>
          <w:trHeight w:val="195"/>
        </w:trPr>
        <w:tc>
          <w:tcPr>
            <w:tcW w:w="1191" w:type="dxa"/>
            <w:tcBorders>
              <w:left w:val="nil"/>
              <w:bottom w:val="single" w:sz="4" w:space="0" w:color="auto"/>
            </w:tcBorders>
            <w:shd w:val="clear" w:color="auto" w:fill="auto"/>
          </w:tcPr>
          <w:p w:rsidR="00EA1049" w:rsidRPr="009F3054" w:rsidRDefault="00EA1049" w:rsidP="00CC2E2C">
            <w:pPr>
              <w:contextualSpacing/>
              <w:jc w:val="both"/>
              <w:rPr>
                <w:rFonts w:ascii="Calibri" w:hAnsi="Calibri" w:cs="Calibri"/>
                <w:sz w:val="16"/>
                <w:szCs w:val="16"/>
              </w:rPr>
            </w:pPr>
          </w:p>
        </w:tc>
        <w:tc>
          <w:tcPr>
            <w:tcW w:w="3742" w:type="dxa"/>
            <w:gridSpan w:val="4"/>
            <w:tcBorders>
              <w:bottom w:val="single" w:sz="4" w:space="0" w:color="auto"/>
            </w:tcBorders>
            <w:shd w:val="clear" w:color="auto" w:fill="auto"/>
          </w:tcPr>
          <w:p w:rsidR="00EA1049" w:rsidRPr="00313F10" w:rsidRDefault="00EA1049" w:rsidP="00CC2E2C">
            <w:pPr>
              <w:contextualSpacing/>
              <w:jc w:val="center"/>
              <w:rPr>
                <w:rFonts w:ascii="Calibri" w:hAnsi="Calibri" w:cs="Calibri"/>
                <w:b/>
                <w:sz w:val="18"/>
                <w:szCs w:val="18"/>
              </w:rPr>
            </w:pPr>
            <w:r w:rsidRPr="00313F10">
              <w:rPr>
                <w:rFonts w:ascii="Calibri" w:hAnsi="Calibri" w:cs="Calibri"/>
                <w:b/>
                <w:sz w:val="18"/>
                <w:szCs w:val="18"/>
              </w:rPr>
              <w:t>2003</w:t>
            </w:r>
          </w:p>
        </w:tc>
        <w:tc>
          <w:tcPr>
            <w:tcW w:w="3743" w:type="dxa"/>
            <w:gridSpan w:val="4"/>
            <w:tcBorders>
              <w:bottom w:val="single" w:sz="4" w:space="0" w:color="auto"/>
              <w:right w:val="nil"/>
            </w:tcBorders>
            <w:shd w:val="clear" w:color="auto" w:fill="auto"/>
          </w:tcPr>
          <w:p w:rsidR="00EA1049" w:rsidRPr="00313F10" w:rsidRDefault="00EA1049" w:rsidP="00CC2E2C">
            <w:pPr>
              <w:contextualSpacing/>
              <w:jc w:val="center"/>
              <w:rPr>
                <w:rFonts w:ascii="Calibri" w:hAnsi="Calibri" w:cs="Calibri"/>
                <w:b/>
                <w:sz w:val="18"/>
                <w:szCs w:val="18"/>
              </w:rPr>
            </w:pPr>
            <w:r w:rsidRPr="00313F10">
              <w:rPr>
                <w:rFonts w:ascii="Calibri" w:hAnsi="Calibri" w:cs="Calibri"/>
                <w:b/>
                <w:sz w:val="18"/>
                <w:szCs w:val="18"/>
              </w:rPr>
              <w:t>2017</w:t>
            </w:r>
          </w:p>
        </w:tc>
      </w:tr>
      <w:tr w:rsidR="00EA1049" w:rsidRPr="00297E16" w:rsidTr="008470AA">
        <w:trPr>
          <w:trHeight w:val="195"/>
        </w:trPr>
        <w:tc>
          <w:tcPr>
            <w:tcW w:w="1191" w:type="dxa"/>
            <w:tcBorders>
              <w:left w:val="nil"/>
              <w:bottom w:val="single" w:sz="4" w:space="0" w:color="auto"/>
            </w:tcBorders>
            <w:shd w:val="clear" w:color="auto" w:fill="auto"/>
            <w:vAlign w:val="center"/>
          </w:tcPr>
          <w:p w:rsidR="00EA1049" w:rsidRPr="00297E16" w:rsidRDefault="00EA1049" w:rsidP="00CC2E2C">
            <w:pPr>
              <w:contextualSpacing/>
              <w:jc w:val="center"/>
              <w:rPr>
                <w:rFonts w:ascii="Calibri" w:hAnsi="Calibri" w:cs="Calibri"/>
                <w:b/>
                <w:sz w:val="16"/>
                <w:szCs w:val="16"/>
              </w:rPr>
            </w:pPr>
            <w:r w:rsidRPr="00297E16">
              <w:rPr>
                <w:rFonts w:ascii="Calibri" w:hAnsi="Calibri" w:cs="Calibri"/>
                <w:b/>
                <w:sz w:val="16"/>
                <w:szCs w:val="16"/>
              </w:rPr>
              <w:t>Gabezia-maila</w:t>
            </w:r>
          </w:p>
        </w:tc>
        <w:tc>
          <w:tcPr>
            <w:tcW w:w="907" w:type="dxa"/>
            <w:tcBorders>
              <w:bottom w:val="single" w:sz="4" w:space="0" w:color="auto"/>
              <w:right w:val="nil"/>
            </w:tcBorders>
            <w:shd w:val="clear" w:color="auto" w:fill="auto"/>
            <w:vAlign w:val="center"/>
          </w:tcPr>
          <w:p w:rsidR="00EA1049" w:rsidRPr="00297E16" w:rsidRDefault="00EA1049" w:rsidP="00CC2E2C">
            <w:pPr>
              <w:contextualSpacing/>
              <w:jc w:val="center"/>
              <w:rPr>
                <w:rFonts w:cs="Calibri"/>
                <w:b/>
                <w:sz w:val="16"/>
                <w:szCs w:val="16"/>
              </w:rPr>
            </w:pPr>
            <w:r w:rsidRPr="00297E16">
              <w:rPr>
                <w:rFonts w:cs="Calibri"/>
                <w:b/>
                <w:sz w:val="16"/>
                <w:szCs w:val="16"/>
              </w:rPr>
              <w:t>Kasu kop.</w:t>
            </w:r>
          </w:p>
        </w:tc>
        <w:tc>
          <w:tcPr>
            <w:tcW w:w="850" w:type="dxa"/>
            <w:tcBorders>
              <w:left w:val="nil"/>
              <w:bottom w:val="single" w:sz="4" w:space="0" w:color="auto"/>
              <w:right w:val="nil"/>
            </w:tcBorders>
            <w:shd w:val="clear" w:color="auto" w:fill="auto"/>
            <w:vAlign w:val="center"/>
          </w:tcPr>
          <w:p w:rsidR="00EA1049" w:rsidRPr="00297E16" w:rsidRDefault="00EA1049" w:rsidP="00CC2E2C">
            <w:pPr>
              <w:contextualSpacing/>
              <w:jc w:val="center"/>
              <w:rPr>
                <w:rFonts w:cs="Calibri"/>
                <w:b/>
                <w:sz w:val="16"/>
                <w:szCs w:val="16"/>
                <w:vertAlign w:val="superscript"/>
              </w:rPr>
            </w:pPr>
            <w:r w:rsidRPr="00297E16">
              <w:rPr>
                <w:rFonts w:cs="Calibri"/>
                <w:b/>
                <w:sz w:val="16"/>
                <w:szCs w:val="16"/>
              </w:rPr>
              <w:t>TE</w:t>
            </w:r>
            <w:r w:rsidRPr="00297E16">
              <w:rPr>
                <w:rFonts w:cs="Calibri"/>
                <w:b/>
                <w:sz w:val="16"/>
                <w:szCs w:val="16"/>
                <w:vertAlign w:val="superscript"/>
              </w:rPr>
              <w:t>a</w:t>
            </w:r>
          </w:p>
        </w:tc>
        <w:tc>
          <w:tcPr>
            <w:tcW w:w="850" w:type="dxa"/>
            <w:tcBorders>
              <w:left w:val="nil"/>
              <w:bottom w:val="single" w:sz="4" w:space="0" w:color="auto"/>
              <w:right w:val="nil"/>
            </w:tcBorders>
            <w:shd w:val="clear" w:color="auto" w:fill="auto"/>
            <w:vAlign w:val="center"/>
          </w:tcPr>
          <w:p w:rsidR="00EA1049" w:rsidRPr="00297E16" w:rsidRDefault="00EA1049" w:rsidP="00CC2E2C">
            <w:pPr>
              <w:contextualSpacing/>
              <w:jc w:val="center"/>
              <w:rPr>
                <w:rFonts w:cs="Calibri"/>
                <w:b/>
                <w:sz w:val="16"/>
                <w:szCs w:val="16"/>
                <w:vertAlign w:val="superscript"/>
              </w:rPr>
            </w:pPr>
            <w:r w:rsidRPr="00297E16">
              <w:rPr>
                <w:rFonts w:cs="Calibri"/>
                <w:b/>
                <w:sz w:val="16"/>
                <w:szCs w:val="16"/>
              </w:rPr>
              <w:t>TEA</w:t>
            </w:r>
            <w:r w:rsidRPr="00297E16">
              <w:rPr>
                <w:rFonts w:cs="Calibri"/>
                <w:b/>
                <w:sz w:val="16"/>
                <w:szCs w:val="16"/>
                <w:vertAlign w:val="superscript"/>
              </w:rPr>
              <w:t>b</w:t>
            </w:r>
          </w:p>
        </w:tc>
        <w:tc>
          <w:tcPr>
            <w:tcW w:w="1135" w:type="dxa"/>
            <w:tcBorders>
              <w:left w:val="nil"/>
              <w:bottom w:val="single" w:sz="4" w:space="0" w:color="auto"/>
            </w:tcBorders>
            <w:shd w:val="clear" w:color="auto" w:fill="auto"/>
            <w:vAlign w:val="center"/>
          </w:tcPr>
          <w:p w:rsidR="00EA1049" w:rsidRPr="00297E16" w:rsidRDefault="00EA1049" w:rsidP="00CC2E2C">
            <w:pPr>
              <w:contextualSpacing/>
              <w:jc w:val="center"/>
              <w:rPr>
                <w:rFonts w:cs="Calibri"/>
                <w:b/>
                <w:sz w:val="16"/>
                <w:szCs w:val="16"/>
              </w:rPr>
            </w:pPr>
            <w:r w:rsidRPr="00297E16">
              <w:rPr>
                <w:rFonts w:cs="Calibri"/>
                <w:b/>
                <w:sz w:val="16"/>
                <w:szCs w:val="16"/>
              </w:rPr>
              <w:t>% 95 KT</w:t>
            </w:r>
          </w:p>
        </w:tc>
        <w:tc>
          <w:tcPr>
            <w:tcW w:w="907" w:type="dxa"/>
            <w:tcBorders>
              <w:bottom w:val="single" w:sz="4" w:space="0" w:color="auto"/>
              <w:right w:val="nil"/>
            </w:tcBorders>
            <w:shd w:val="clear" w:color="auto" w:fill="auto"/>
            <w:vAlign w:val="center"/>
          </w:tcPr>
          <w:p w:rsidR="00EA1049" w:rsidRPr="00297E16" w:rsidRDefault="00EA1049" w:rsidP="00CC2E2C">
            <w:pPr>
              <w:contextualSpacing/>
              <w:jc w:val="center"/>
              <w:rPr>
                <w:rFonts w:cs="Calibri"/>
                <w:b/>
                <w:sz w:val="16"/>
                <w:szCs w:val="16"/>
              </w:rPr>
            </w:pPr>
            <w:r w:rsidRPr="00297E16">
              <w:rPr>
                <w:rFonts w:cs="Calibri"/>
                <w:b/>
                <w:sz w:val="16"/>
                <w:szCs w:val="16"/>
              </w:rPr>
              <w:t>Kasu kop.</w:t>
            </w:r>
          </w:p>
        </w:tc>
        <w:tc>
          <w:tcPr>
            <w:tcW w:w="850" w:type="dxa"/>
            <w:tcBorders>
              <w:left w:val="nil"/>
              <w:bottom w:val="single" w:sz="4" w:space="0" w:color="auto"/>
              <w:right w:val="nil"/>
            </w:tcBorders>
            <w:shd w:val="clear" w:color="auto" w:fill="auto"/>
            <w:vAlign w:val="center"/>
          </w:tcPr>
          <w:p w:rsidR="00EA1049" w:rsidRPr="00297E16" w:rsidRDefault="00EA1049" w:rsidP="00CC2E2C">
            <w:pPr>
              <w:contextualSpacing/>
              <w:jc w:val="center"/>
              <w:rPr>
                <w:rFonts w:cs="Calibri"/>
                <w:b/>
                <w:sz w:val="16"/>
                <w:szCs w:val="16"/>
                <w:vertAlign w:val="superscript"/>
              </w:rPr>
            </w:pPr>
            <w:r w:rsidRPr="00297E16">
              <w:rPr>
                <w:rFonts w:cs="Calibri"/>
                <w:b/>
                <w:sz w:val="16"/>
                <w:szCs w:val="16"/>
              </w:rPr>
              <w:t>TE</w:t>
            </w:r>
            <w:r w:rsidRPr="00297E16">
              <w:rPr>
                <w:rFonts w:cs="Calibri"/>
                <w:b/>
                <w:sz w:val="16"/>
                <w:szCs w:val="16"/>
                <w:vertAlign w:val="superscript"/>
              </w:rPr>
              <w:t>a</w:t>
            </w:r>
          </w:p>
        </w:tc>
        <w:tc>
          <w:tcPr>
            <w:tcW w:w="850" w:type="dxa"/>
            <w:tcBorders>
              <w:left w:val="nil"/>
              <w:bottom w:val="single" w:sz="4" w:space="0" w:color="auto"/>
              <w:right w:val="nil"/>
            </w:tcBorders>
            <w:shd w:val="clear" w:color="auto" w:fill="auto"/>
            <w:vAlign w:val="center"/>
          </w:tcPr>
          <w:p w:rsidR="00EA1049" w:rsidRPr="00297E16" w:rsidRDefault="00EA1049" w:rsidP="00CC2E2C">
            <w:pPr>
              <w:contextualSpacing/>
              <w:jc w:val="center"/>
              <w:rPr>
                <w:rFonts w:cs="Calibri"/>
                <w:b/>
                <w:sz w:val="16"/>
                <w:szCs w:val="16"/>
                <w:vertAlign w:val="superscript"/>
              </w:rPr>
            </w:pPr>
            <w:r w:rsidRPr="00297E16">
              <w:rPr>
                <w:rFonts w:cs="Calibri"/>
                <w:b/>
                <w:sz w:val="16"/>
                <w:szCs w:val="16"/>
              </w:rPr>
              <w:t>TEA</w:t>
            </w:r>
            <w:r w:rsidRPr="00297E16">
              <w:rPr>
                <w:rFonts w:cs="Calibri"/>
                <w:b/>
                <w:sz w:val="16"/>
                <w:szCs w:val="16"/>
                <w:vertAlign w:val="superscript"/>
              </w:rPr>
              <w:t>b</w:t>
            </w:r>
          </w:p>
        </w:tc>
        <w:tc>
          <w:tcPr>
            <w:tcW w:w="1134" w:type="dxa"/>
            <w:tcBorders>
              <w:left w:val="nil"/>
              <w:bottom w:val="single" w:sz="4" w:space="0" w:color="auto"/>
              <w:right w:val="nil"/>
            </w:tcBorders>
            <w:shd w:val="clear" w:color="auto" w:fill="auto"/>
            <w:vAlign w:val="center"/>
          </w:tcPr>
          <w:p w:rsidR="00EA1049" w:rsidRPr="00297E16" w:rsidRDefault="00EA1049" w:rsidP="00CC2E2C">
            <w:pPr>
              <w:contextualSpacing/>
              <w:jc w:val="center"/>
              <w:rPr>
                <w:rFonts w:cs="Calibri"/>
                <w:b/>
                <w:sz w:val="16"/>
                <w:szCs w:val="16"/>
              </w:rPr>
            </w:pPr>
            <w:r w:rsidRPr="00297E16">
              <w:rPr>
                <w:rFonts w:cs="Calibri"/>
                <w:b/>
                <w:sz w:val="16"/>
                <w:szCs w:val="16"/>
              </w:rPr>
              <w:t>% 95 KT</w:t>
            </w:r>
          </w:p>
        </w:tc>
      </w:tr>
      <w:tr w:rsidR="00EA1049" w:rsidRPr="00297E16" w:rsidTr="008470AA">
        <w:trPr>
          <w:trHeight w:val="195"/>
        </w:trPr>
        <w:tc>
          <w:tcPr>
            <w:tcW w:w="1191" w:type="dxa"/>
            <w:tcBorders>
              <w:top w:val="single" w:sz="4" w:space="0" w:color="auto"/>
              <w:left w:val="nil"/>
              <w:bottom w:val="nil"/>
            </w:tcBorders>
            <w:shd w:val="clear" w:color="auto" w:fill="auto"/>
          </w:tcPr>
          <w:p w:rsidR="00EA1049" w:rsidRPr="00297E16" w:rsidRDefault="00EA1049" w:rsidP="00CC2E2C">
            <w:pPr>
              <w:contextualSpacing/>
              <w:jc w:val="both"/>
              <w:rPr>
                <w:rFonts w:cs="Calibri"/>
                <w:b/>
                <w:sz w:val="16"/>
                <w:szCs w:val="16"/>
              </w:rPr>
            </w:pPr>
            <w:r w:rsidRPr="00297E16">
              <w:rPr>
                <w:rFonts w:cs="Calibri"/>
                <w:b/>
                <w:sz w:val="16"/>
                <w:szCs w:val="16"/>
              </w:rPr>
              <w:t>1 (aberatsena)</w:t>
            </w:r>
          </w:p>
        </w:tc>
        <w:tc>
          <w:tcPr>
            <w:tcW w:w="907" w:type="dxa"/>
            <w:tcBorders>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24</w:t>
            </w:r>
          </w:p>
        </w:tc>
        <w:tc>
          <w:tcPr>
            <w:tcW w:w="850" w:type="dxa"/>
            <w:tcBorders>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17,6</w:t>
            </w:r>
          </w:p>
        </w:tc>
        <w:tc>
          <w:tcPr>
            <w:tcW w:w="850" w:type="dxa"/>
            <w:tcBorders>
              <w:left w:val="nil"/>
              <w:bottom w:val="nil"/>
              <w:right w:val="nil"/>
            </w:tcBorders>
            <w:shd w:val="clear" w:color="auto" w:fill="auto"/>
          </w:tcPr>
          <w:p w:rsidR="00EA1049" w:rsidRPr="00297E16" w:rsidRDefault="00EA1049" w:rsidP="00CC2E2C">
            <w:pPr>
              <w:contextualSpacing/>
              <w:jc w:val="center"/>
              <w:rPr>
                <w:rFonts w:cs="Calibri"/>
                <w:color w:val="FF0000"/>
                <w:sz w:val="16"/>
                <w:szCs w:val="16"/>
              </w:rPr>
            </w:pPr>
          </w:p>
        </w:tc>
        <w:tc>
          <w:tcPr>
            <w:tcW w:w="1135" w:type="dxa"/>
            <w:tcBorders>
              <w:left w:val="nil"/>
              <w:bottom w:val="nil"/>
            </w:tcBorders>
            <w:shd w:val="clear" w:color="auto" w:fill="auto"/>
          </w:tcPr>
          <w:p w:rsidR="00EA1049" w:rsidRPr="00297E16" w:rsidRDefault="00EA1049" w:rsidP="00CC2E2C">
            <w:pPr>
              <w:contextualSpacing/>
              <w:jc w:val="center"/>
              <w:rPr>
                <w:rFonts w:cs="Calibri"/>
                <w:color w:val="FF0000"/>
                <w:sz w:val="16"/>
                <w:szCs w:val="16"/>
              </w:rPr>
            </w:pPr>
          </w:p>
        </w:tc>
        <w:tc>
          <w:tcPr>
            <w:tcW w:w="907" w:type="dxa"/>
            <w:tcBorders>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17</w:t>
            </w:r>
          </w:p>
        </w:tc>
        <w:tc>
          <w:tcPr>
            <w:tcW w:w="850" w:type="dxa"/>
            <w:tcBorders>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11,1</w:t>
            </w:r>
          </w:p>
        </w:tc>
        <w:tc>
          <w:tcPr>
            <w:tcW w:w="850" w:type="dxa"/>
            <w:tcBorders>
              <w:left w:val="nil"/>
              <w:bottom w:val="nil"/>
              <w:right w:val="nil"/>
            </w:tcBorders>
            <w:shd w:val="clear" w:color="auto" w:fill="auto"/>
          </w:tcPr>
          <w:p w:rsidR="00EA1049" w:rsidRPr="00297E16" w:rsidRDefault="00EA1049" w:rsidP="00CC2E2C">
            <w:pPr>
              <w:contextualSpacing/>
              <w:jc w:val="center"/>
              <w:rPr>
                <w:rFonts w:cs="Calibri"/>
                <w:sz w:val="16"/>
                <w:szCs w:val="16"/>
              </w:rPr>
            </w:pPr>
          </w:p>
        </w:tc>
        <w:tc>
          <w:tcPr>
            <w:tcW w:w="1134" w:type="dxa"/>
            <w:tcBorders>
              <w:left w:val="nil"/>
              <w:bottom w:val="nil"/>
              <w:right w:val="nil"/>
            </w:tcBorders>
            <w:shd w:val="clear" w:color="auto" w:fill="auto"/>
          </w:tcPr>
          <w:p w:rsidR="00EA1049" w:rsidRPr="00297E16" w:rsidRDefault="00EA1049" w:rsidP="00CC2E2C">
            <w:pPr>
              <w:contextualSpacing/>
              <w:jc w:val="center"/>
              <w:rPr>
                <w:rFonts w:cs="Calibri"/>
                <w:sz w:val="16"/>
                <w:szCs w:val="16"/>
              </w:rPr>
            </w:pPr>
          </w:p>
        </w:tc>
      </w:tr>
      <w:tr w:rsidR="00EA1049" w:rsidRPr="00297E16" w:rsidTr="008470AA">
        <w:trPr>
          <w:trHeight w:val="196"/>
        </w:trPr>
        <w:tc>
          <w:tcPr>
            <w:tcW w:w="1191" w:type="dxa"/>
            <w:tcBorders>
              <w:top w:val="nil"/>
              <w:left w:val="nil"/>
              <w:bottom w:val="nil"/>
            </w:tcBorders>
            <w:shd w:val="clear" w:color="auto" w:fill="auto"/>
          </w:tcPr>
          <w:p w:rsidR="00EA1049" w:rsidRPr="00297E16" w:rsidRDefault="00EA1049" w:rsidP="00CC2E2C">
            <w:pPr>
              <w:contextualSpacing/>
              <w:jc w:val="both"/>
              <w:rPr>
                <w:rFonts w:cs="Calibri"/>
                <w:b/>
                <w:sz w:val="16"/>
                <w:szCs w:val="16"/>
              </w:rPr>
            </w:pPr>
            <w:r w:rsidRPr="00297E16">
              <w:rPr>
                <w:rFonts w:cs="Calibri"/>
                <w:b/>
                <w:sz w:val="16"/>
                <w:szCs w:val="16"/>
              </w:rPr>
              <w:t>2</w:t>
            </w:r>
          </w:p>
        </w:tc>
        <w:tc>
          <w:tcPr>
            <w:tcW w:w="907" w:type="dxa"/>
            <w:tcBorders>
              <w:top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38</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21,8</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1,24</w:t>
            </w:r>
          </w:p>
        </w:tc>
        <w:tc>
          <w:tcPr>
            <w:tcW w:w="1135" w:type="dxa"/>
            <w:tcBorders>
              <w:top w:val="nil"/>
              <w:left w:val="nil"/>
              <w:bottom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0,74-2,07</w:t>
            </w:r>
          </w:p>
        </w:tc>
        <w:tc>
          <w:tcPr>
            <w:tcW w:w="907" w:type="dxa"/>
            <w:tcBorders>
              <w:top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19</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10,1</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0,91</w:t>
            </w:r>
          </w:p>
        </w:tc>
        <w:tc>
          <w:tcPr>
            <w:tcW w:w="1134"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0,47-1,75</w:t>
            </w:r>
          </w:p>
        </w:tc>
      </w:tr>
      <w:tr w:rsidR="00EA1049" w:rsidRPr="00297E16" w:rsidTr="008470AA">
        <w:trPr>
          <w:trHeight w:val="195"/>
        </w:trPr>
        <w:tc>
          <w:tcPr>
            <w:tcW w:w="1191" w:type="dxa"/>
            <w:tcBorders>
              <w:top w:val="nil"/>
              <w:left w:val="nil"/>
              <w:bottom w:val="nil"/>
            </w:tcBorders>
            <w:shd w:val="clear" w:color="auto" w:fill="auto"/>
          </w:tcPr>
          <w:p w:rsidR="00EA1049" w:rsidRPr="00297E16" w:rsidRDefault="00EA1049" w:rsidP="00CC2E2C">
            <w:pPr>
              <w:contextualSpacing/>
              <w:jc w:val="both"/>
              <w:rPr>
                <w:rFonts w:cs="Calibri"/>
                <w:b/>
                <w:sz w:val="16"/>
                <w:szCs w:val="16"/>
              </w:rPr>
            </w:pPr>
            <w:r w:rsidRPr="00297E16">
              <w:rPr>
                <w:rFonts w:cs="Calibri"/>
                <w:b/>
                <w:sz w:val="16"/>
                <w:szCs w:val="16"/>
              </w:rPr>
              <w:t>3</w:t>
            </w:r>
          </w:p>
        </w:tc>
        <w:tc>
          <w:tcPr>
            <w:tcW w:w="907" w:type="dxa"/>
            <w:tcBorders>
              <w:top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51</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27,4</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1,56</w:t>
            </w:r>
          </w:p>
        </w:tc>
        <w:tc>
          <w:tcPr>
            <w:tcW w:w="1135" w:type="dxa"/>
            <w:tcBorders>
              <w:top w:val="nil"/>
              <w:left w:val="nil"/>
              <w:bottom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0,97-2,51</w:t>
            </w:r>
          </w:p>
        </w:tc>
        <w:tc>
          <w:tcPr>
            <w:tcW w:w="907" w:type="dxa"/>
            <w:tcBorders>
              <w:top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21</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11,2</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1,01</w:t>
            </w:r>
          </w:p>
        </w:tc>
        <w:tc>
          <w:tcPr>
            <w:tcW w:w="1134"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0,53-1,91</w:t>
            </w:r>
          </w:p>
        </w:tc>
      </w:tr>
      <w:tr w:rsidR="00EA1049" w:rsidRPr="00297E16" w:rsidTr="008470AA">
        <w:trPr>
          <w:trHeight w:val="195"/>
        </w:trPr>
        <w:tc>
          <w:tcPr>
            <w:tcW w:w="1191" w:type="dxa"/>
            <w:tcBorders>
              <w:top w:val="nil"/>
              <w:left w:val="nil"/>
              <w:bottom w:val="nil"/>
            </w:tcBorders>
            <w:shd w:val="clear" w:color="auto" w:fill="auto"/>
          </w:tcPr>
          <w:p w:rsidR="00EA1049" w:rsidRPr="00297E16" w:rsidRDefault="00EA1049" w:rsidP="00CC2E2C">
            <w:pPr>
              <w:contextualSpacing/>
              <w:jc w:val="both"/>
              <w:rPr>
                <w:rFonts w:cs="Calibri"/>
                <w:b/>
                <w:sz w:val="16"/>
                <w:szCs w:val="16"/>
              </w:rPr>
            </w:pPr>
            <w:r w:rsidRPr="00297E16">
              <w:rPr>
                <w:rFonts w:cs="Calibri"/>
                <w:b/>
                <w:sz w:val="16"/>
                <w:szCs w:val="16"/>
              </w:rPr>
              <w:t>4</w:t>
            </w:r>
          </w:p>
        </w:tc>
        <w:tc>
          <w:tcPr>
            <w:tcW w:w="907" w:type="dxa"/>
            <w:tcBorders>
              <w:top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43</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36,3</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2,06</w:t>
            </w:r>
          </w:p>
        </w:tc>
        <w:tc>
          <w:tcPr>
            <w:tcW w:w="1135" w:type="dxa"/>
            <w:tcBorders>
              <w:top w:val="nil"/>
              <w:left w:val="nil"/>
              <w:bottom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1,23-3,46</w:t>
            </w:r>
          </w:p>
        </w:tc>
        <w:tc>
          <w:tcPr>
            <w:tcW w:w="907" w:type="dxa"/>
            <w:tcBorders>
              <w:top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18</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13,7</w:t>
            </w:r>
          </w:p>
        </w:tc>
        <w:tc>
          <w:tcPr>
            <w:tcW w:w="850"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1,23</w:t>
            </w:r>
          </w:p>
        </w:tc>
        <w:tc>
          <w:tcPr>
            <w:tcW w:w="1134" w:type="dxa"/>
            <w:tcBorders>
              <w:top w:val="nil"/>
              <w:left w:val="nil"/>
              <w:bottom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0,63-2,40</w:t>
            </w:r>
          </w:p>
        </w:tc>
      </w:tr>
      <w:tr w:rsidR="00EA1049" w:rsidRPr="00297E16" w:rsidTr="008470AA">
        <w:trPr>
          <w:trHeight w:val="196"/>
        </w:trPr>
        <w:tc>
          <w:tcPr>
            <w:tcW w:w="1191" w:type="dxa"/>
            <w:tcBorders>
              <w:top w:val="nil"/>
              <w:left w:val="nil"/>
            </w:tcBorders>
            <w:shd w:val="clear" w:color="auto" w:fill="auto"/>
          </w:tcPr>
          <w:p w:rsidR="00EA1049" w:rsidRPr="00297E16" w:rsidRDefault="00EA1049" w:rsidP="00CC2E2C">
            <w:pPr>
              <w:contextualSpacing/>
              <w:jc w:val="both"/>
              <w:rPr>
                <w:rFonts w:cs="Calibri"/>
                <w:b/>
                <w:sz w:val="16"/>
                <w:szCs w:val="16"/>
              </w:rPr>
            </w:pPr>
            <w:r w:rsidRPr="00297E16">
              <w:rPr>
                <w:rFonts w:cs="Calibri"/>
                <w:b/>
                <w:sz w:val="16"/>
                <w:szCs w:val="16"/>
              </w:rPr>
              <w:t>5 (pobreena)</w:t>
            </w:r>
          </w:p>
        </w:tc>
        <w:tc>
          <w:tcPr>
            <w:tcW w:w="907" w:type="dxa"/>
            <w:tcBorders>
              <w:top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37</w:t>
            </w:r>
          </w:p>
        </w:tc>
        <w:tc>
          <w:tcPr>
            <w:tcW w:w="850" w:type="dxa"/>
            <w:tcBorders>
              <w:top w:val="nil"/>
              <w:left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43,6</w:t>
            </w:r>
          </w:p>
        </w:tc>
        <w:tc>
          <w:tcPr>
            <w:tcW w:w="850" w:type="dxa"/>
            <w:tcBorders>
              <w:top w:val="nil"/>
              <w:left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2,48</w:t>
            </w:r>
          </w:p>
        </w:tc>
        <w:tc>
          <w:tcPr>
            <w:tcW w:w="1135" w:type="dxa"/>
            <w:tcBorders>
              <w:top w:val="nil"/>
              <w:lef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1,39-4,41</w:t>
            </w:r>
          </w:p>
        </w:tc>
        <w:tc>
          <w:tcPr>
            <w:tcW w:w="907" w:type="dxa"/>
            <w:tcBorders>
              <w:top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9</w:t>
            </w:r>
          </w:p>
        </w:tc>
        <w:tc>
          <w:tcPr>
            <w:tcW w:w="850" w:type="dxa"/>
            <w:tcBorders>
              <w:top w:val="nil"/>
              <w:left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16,1</w:t>
            </w:r>
          </w:p>
        </w:tc>
        <w:tc>
          <w:tcPr>
            <w:tcW w:w="850" w:type="dxa"/>
            <w:tcBorders>
              <w:top w:val="nil"/>
              <w:left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1,45</w:t>
            </w:r>
          </w:p>
        </w:tc>
        <w:tc>
          <w:tcPr>
            <w:tcW w:w="1134" w:type="dxa"/>
            <w:tcBorders>
              <w:top w:val="nil"/>
              <w:left w:val="nil"/>
              <w:right w:val="nil"/>
            </w:tcBorders>
            <w:shd w:val="clear" w:color="auto" w:fill="auto"/>
          </w:tcPr>
          <w:p w:rsidR="00EA1049" w:rsidRPr="00297E16" w:rsidRDefault="00EA1049" w:rsidP="00CC2E2C">
            <w:pPr>
              <w:contextualSpacing/>
              <w:jc w:val="center"/>
              <w:rPr>
                <w:rFonts w:cs="Calibri"/>
                <w:sz w:val="16"/>
                <w:szCs w:val="16"/>
              </w:rPr>
            </w:pPr>
            <w:r w:rsidRPr="00297E16">
              <w:rPr>
                <w:rFonts w:cs="Calibri"/>
                <w:sz w:val="16"/>
                <w:szCs w:val="16"/>
              </w:rPr>
              <w:t>0,60-3,47</w:t>
            </w:r>
          </w:p>
        </w:tc>
      </w:tr>
    </w:tbl>
    <w:p w:rsidR="00EA1049" w:rsidRPr="00297E16" w:rsidRDefault="00EA1049" w:rsidP="00CC2E2C">
      <w:pPr>
        <w:contextualSpacing/>
        <w:jc w:val="both"/>
        <w:rPr>
          <w:rFonts w:ascii="Calibri" w:hAnsi="Calibri" w:cs="Calibri"/>
          <w:sz w:val="16"/>
          <w:szCs w:val="16"/>
        </w:rPr>
      </w:pPr>
      <w:r w:rsidRPr="00297E16">
        <w:rPr>
          <w:rFonts w:ascii="Calibri" w:hAnsi="Calibri" w:cs="Calibri"/>
          <w:sz w:val="16"/>
          <w:szCs w:val="16"/>
          <w:vertAlign w:val="superscript"/>
        </w:rPr>
        <w:t xml:space="preserve">a </w:t>
      </w:r>
      <w:r w:rsidRPr="00297E16">
        <w:rPr>
          <w:rFonts w:ascii="Calibri" w:hAnsi="Calibri" w:cs="Calibri"/>
          <w:sz w:val="16"/>
          <w:szCs w:val="16"/>
        </w:rPr>
        <w:t xml:space="preserve">TE: Tasa estandarizatua, 2011. urteko EAEko populazioarekin adinaren arabera </w:t>
      </w:r>
    </w:p>
    <w:p w:rsidR="00EA1049" w:rsidRPr="00297E16" w:rsidRDefault="00EA1049" w:rsidP="00CC2E2C">
      <w:pPr>
        <w:contextualSpacing/>
        <w:jc w:val="both"/>
        <w:rPr>
          <w:rFonts w:ascii="Calibri" w:hAnsi="Calibri" w:cs="Calibri"/>
          <w:sz w:val="16"/>
          <w:szCs w:val="16"/>
        </w:rPr>
      </w:pPr>
      <w:r w:rsidRPr="00297E16">
        <w:rPr>
          <w:rFonts w:ascii="Calibri" w:hAnsi="Calibri" w:cs="Calibri"/>
          <w:sz w:val="16"/>
          <w:szCs w:val="16"/>
          <w:vertAlign w:val="superscript"/>
        </w:rPr>
        <w:t xml:space="preserve">b </w:t>
      </w:r>
      <w:r w:rsidRPr="00297E16">
        <w:rPr>
          <w:rFonts w:ascii="Calibri" w:hAnsi="Calibri" w:cs="Calibri"/>
          <w:sz w:val="16"/>
          <w:szCs w:val="16"/>
        </w:rPr>
        <w:t>TEA: Tasa estandarizatuen arrazoia; KT: konfiantza-tartea.</w:t>
      </w:r>
    </w:p>
    <w:p w:rsidR="00EA1049" w:rsidRDefault="00EA1049" w:rsidP="00CC2E2C">
      <w:pPr>
        <w:contextualSpacing/>
        <w:rPr>
          <w:rFonts w:ascii="Calibri" w:hAnsi="Calibri" w:cs="Calibri"/>
          <w:b/>
        </w:rPr>
      </w:pPr>
    </w:p>
    <w:p w:rsidR="00EA1049" w:rsidRDefault="00EA1049" w:rsidP="00CC2E2C">
      <w:pPr>
        <w:contextualSpacing/>
        <w:rPr>
          <w:rFonts w:ascii="Calibri" w:hAnsi="Calibri" w:cs="Calibri"/>
          <w:b/>
        </w:rPr>
      </w:pPr>
    </w:p>
    <w:p w:rsidR="00EA1049" w:rsidRPr="00F146EB" w:rsidRDefault="00EA1049" w:rsidP="00CC2E2C">
      <w:pPr>
        <w:contextualSpacing/>
        <w:rPr>
          <w:rFonts w:ascii="Calibri" w:hAnsi="Calibri" w:cs="Calibri"/>
          <w:b/>
        </w:rPr>
      </w:pPr>
      <w:r w:rsidRPr="00F146EB">
        <w:rPr>
          <w:rFonts w:ascii="Calibri" w:hAnsi="Calibri" w:cs="Calibri"/>
          <w:b/>
        </w:rPr>
        <w:t>Eztabaida</w:t>
      </w:r>
    </w:p>
    <w:p w:rsidR="00EA1049" w:rsidRPr="00F146EB"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sidRPr="00E31291">
        <w:rPr>
          <w:rFonts w:ascii="Calibri" w:hAnsi="Calibri" w:cs="Calibri"/>
        </w:rPr>
        <w:t xml:space="preserve">Tuberkulosia pobreziarekin </w:t>
      </w:r>
      <w:r>
        <w:rPr>
          <w:rFonts w:ascii="Calibri" w:hAnsi="Calibri" w:cs="Calibri"/>
        </w:rPr>
        <w:t>erlazionatu izan da historikoki, m</w:t>
      </w:r>
      <w:r w:rsidRPr="00E31291">
        <w:rPr>
          <w:rFonts w:ascii="Calibri" w:hAnsi="Calibri" w:cs="Calibri"/>
        </w:rPr>
        <w:t>aila sozioekonomikoa eta tuberkulosiaren arteko h</w:t>
      </w:r>
      <w:r>
        <w:rPr>
          <w:rFonts w:ascii="Calibri" w:hAnsi="Calibri" w:cs="Calibri"/>
        </w:rPr>
        <w:t>arremana aspaldian ezaguna izanik. L</w:t>
      </w:r>
      <w:r w:rsidRPr="00E31291">
        <w:rPr>
          <w:rFonts w:ascii="Calibri" w:hAnsi="Calibri" w:cs="Calibri"/>
        </w:rPr>
        <w:t>an honetan lortutako emaitzei begiratuta, Gipuzkoan ere egoera hori ematen dela ondorioztatu daiteke. Izan ere, maila sozioekonomiko baxuenean</w:t>
      </w:r>
      <w:r>
        <w:rPr>
          <w:rFonts w:ascii="Calibri" w:hAnsi="Calibri" w:cs="Calibri"/>
        </w:rPr>
        <w:t xml:space="preserve"> kokatzen diren pertsonek altuenean</w:t>
      </w:r>
      <w:r w:rsidRPr="00E31291">
        <w:rPr>
          <w:rFonts w:ascii="Calibri" w:hAnsi="Calibri" w:cs="Calibri"/>
        </w:rPr>
        <w:t xml:space="preserve"> daudenak baino tuberkulosia izateko arrisku handiagoa dutela ikusten da; arriskuaren igoera esangarria izanik gizonetan, baina ez emakumeetan. Azken horren arrazoia emakumeetan dagoen k</w:t>
      </w:r>
      <w:r>
        <w:rPr>
          <w:rFonts w:ascii="Calibri" w:hAnsi="Calibri" w:cs="Calibri"/>
        </w:rPr>
        <w:t>asu kopuru txikia izan daiteke.</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sidRPr="000F7083">
        <w:rPr>
          <w:rFonts w:ascii="Calibri" w:hAnsi="Calibri" w:cs="Calibri"/>
        </w:rPr>
        <w:t xml:space="preserve">Maila sozioekonomikoaren eta tuberkulosi-intzidentziaren arteko asoziazioa azaldu dezaketen mekanismoak konplexuak dira, </w:t>
      </w:r>
      <w:r>
        <w:rPr>
          <w:rFonts w:ascii="Calibri" w:hAnsi="Calibri" w:cs="Calibri"/>
        </w:rPr>
        <w:t xml:space="preserve">eta </w:t>
      </w:r>
      <w:r w:rsidRPr="000F7083">
        <w:rPr>
          <w:rFonts w:ascii="Calibri" w:hAnsi="Calibri" w:cs="Calibri"/>
        </w:rPr>
        <w:t>banakako- eta testuinguru-fakto</w:t>
      </w:r>
      <w:r>
        <w:rPr>
          <w:rFonts w:ascii="Calibri" w:hAnsi="Calibri" w:cs="Calibri"/>
        </w:rPr>
        <w:t>re</w:t>
      </w:r>
      <w:r w:rsidRPr="000F7083">
        <w:rPr>
          <w:rFonts w:ascii="Calibri" w:hAnsi="Calibri" w:cs="Calibri"/>
        </w:rPr>
        <w:t>ak aintzat hartu behar dira. Testuingurukoei dagokionez, deskribatu izan da etxebizitzaren ezaugarriak eta honetan bizi diren pertsona kopurua tuberkulosi arriskuarekin loturik daudela</w:t>
      </w:r>
      <w:r>
        <w:rPr>
          <w:rFonts w:ascii="Calibri" w:hAnsi="Calibri" w:cs="Calibri"/>
        </w:rPr>
        <w:t xml:space="preserve"> </w:t>
      </w:r>
      <w:r w:rsidRPr="00E31291">
        <w:rPr>
          <w:rFonts w:ascii="Calibri" w:hAnsi="Calibri" w:cs="Calibri"/>
        </w:rPr>
        <w:t>(</w:t>
      </w:r>
      <w:r>
        <w:rPr>
          <w:rFonts w:ascii="Calibri" w:hAnsi="Calibri" w:cs="Calibri"/>
        </w:rPr>
        <w:t>19</w:t>
      </w:r>
      <w:r w:rsidRPr="00E31291">
        <w:rPr>
          <w:rFonts w:ascii="Calibri" w:hAnsi="Calibri" w:cs="Calibri"/>
        </w:rPr>
        <w:t>).</w:t>
      </w:r>
      <w:r>
        <w:rPr>
          <w:rFonts w:ascii="Calibri" w:hAnsi="Calibri" w:cs="Calibri"/>
        </w:rPr>
        <w:t xml:space="preserve"> Bestalde, banakako-faktoreen artean, erretze ohitura tuberkulosiaren </w:t>
      </w:r>
      <w:r w:rsidRPr="00E31291">
        <w:rPr>
          <w:rFonts w:ascii="Calibri" w:hAnsi="Calibri" w:cs="Calibri"/>
        </w:rPr>
        <w:t>arrisku faktore ezag</w:t>
      </w:r>
      <w:r>
        <w:rPr>
          <w:rFonts w:ascii="Calibri" w:hAnsi="Calibri" w:cs="Calibri"/>
        </w:rPr>
        <w:t>una da. Tabakoa kontsumitzea norbanakoen faktorea izan arren, populazio batean dauden erretzaileen prebalentzia gabezia-mailarekin erlazionatuta dagoela ere jakina da</w:t>
      </w:r>
      <w:r w:rsidRPr="00E31291">
        <w:rPr>
          <w:rFonts w:ascii="Calibri" w:hAnsi="Calibri" w:cs="Calibri"/>
        </w:rPr>
        <w:t xml:space="preserve"> (7). </w:t>
      </w:r>
      <w:r w:rsidRPr="000F7083">
        <w:rPr>
          <w:rFonts w:ascii="Calibri" w:hAnsi="Calibri" w:cs="Calibri"/>
        </w:rPr>
        <w:t>Modu honetan, 2013ko EAEko Osasun Inkestaren arabera, tabako kontsumoaren joera klase soziala eta ikasketa mailaren araberakoa da: kontsumoak gora egiten du klase sozialak edo ikasketa mailak behera egin ahala (45 urtetik gorako emakumeetan izan ezik)</w:t>
      </w:r>
      <w:r w:rsidRPr="00E31291">
        <w:rPr>
          <w:rFonts w:ascii="Calibri" w:hAnsi="Calibri" w:cs="Calibri"/>
        </w:rPr>
        <w:t xml:space="preserve"> (</w:t>
      </w:r>
      <w:bookmarkStart w:id="1" w:name="_Ref11326341"/>
      <w:r>
        <w:rPr>
          <w:rFonts w:ascii="Calibri" w:hAnsi="Calibri" w:cs="Calibri"/>
        </w:rPr>
        <w:t>20</w:t>
      </w:r>
      <w:bookmarkEnd w:id="1"/>
      <w:r w:rsidRPr="00E31291">
        <w:rPr>
          <w:rFonts w:ascii="Calibri" w:hAnsi="Calibri" w:cs="Calibri"/>
        </w:rPr>
        <w:t>).</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Pr>
          <w:rFonts w:ascii="Calibri" w:hAnsi="Calibri" w:cs="Calibri"/>
        </w:rPr>
        <w:t>Migrazio fenomenoek tuberkulosiaren intzidentzia, diagnostikoa eta tratamenduarekin erlazio estua dutela deskribatu da maiz (</w:t>
      </w:r>
      <w:bookmarkStart w:id="2" w:name="_Ref11401361"/>
      <w:r>
        <w:rPr>
          <w:rFonts w:ascii="Calibri" w:hAnsi="Calibri" w:cs="Calibri"/>
        </w:rPr>
        <w:t>21,22</w:t>
      </w:r>
      <w:bookmarkEnd w:id="2"/>
      <w:r>
        <w:rPr>
          <w:rFonts w:ascii="Calibri" w:hAnsi="Calibri" w:cs="Calibri"/>
        </w:rPr>
        <w:t>). Sarritan etorkinen kolektiboa maila sozioekonomiko baxuenetan kokatzen den arren, a</w:t>
      </w:r>
      <w:r w:rsidRPr="00E31291">
        <w:rPr>
          <w:rFonts w:ascii="Calibri" w:hAnsi="Calibri" w:cs="Calibri"/>
        </w:rPr>
        <w:t>ipaturiko asoziazioa bere horretan mantentzen da analisitik atzerrian jaiotako kasuak kendu</w:t>
      </w:r>
      <w:r>
        <w:rPr>
          <w:rFonts w:ascii="Calibri" w:hAnsi="Calibri" w:cs="Calibri"/>
        </w:rPr>
        <w:t>z</w:t>
      </w:r>
      <w:r w:rsidRPr="00E31291">
        <w:rPr>
          <w:rFonts w:ascii="Calibri" w:hAnsi="Calibri" w:cs="Calibri"/>
        </w:rPr>
        <w:t xml:space="preserve"> gero, nahiz eta kasu gutxiago izatearen ondorioz emaitz</w:t>
      </w:r>
      <w:r>
        <w:rPr>
          <w:rFonts w:ascii="Calibri" w:hAnsi="Calibri" w:cs="Calibri"/>
        </w:rPr>
        <w:t>ek</w:t>
      </w:r>
      <w:r w:rsidRPr="00E31291">
        <w:rPr>
          <w:rFonts w:ascii="Calibri" w:hAnsi="Calibri" w:cs="Calibri"/>
        </w:rPr>
        <w:t xml:space="preserve"> esangarritasun maila baxuago</w:t>
      </w:r>
      <w:r>
        <w:rPr>
          <w:rFonts w:ascii="Calibri" w:hAnsi="Calibri" w:cs="Calibri"/>
        </w:rPr>
        <w:t>a</w:t>
      </w:r>
      <w:r w:rsidRPr="00E31291">
        <w:rPr>
          <w:rFonts w:ascii="Calibri" w:hAnsi="Calibri" w:cs="Calibri"/>
        </w:rPr>
        <w:t xml:space="preserve"> duten.</w:t>
      </w:r>
      <w:r>
        <w:rPr>
          <w:rFonts w:ascii="Calibri" w:hAnsi="Calibri" w:cs="Calibri"/>
        </w:rPr>
        <w:t xml:space="preserve"> Hortaz, gabezia-maila eta tuberkulosiaren intzidentziaren artean</w:t>
      </w:r>
      <w:r w:rsidRPr="00E31291">
        <w:rPr>
          <w:rFonts w:ascii="Calibri" w:hAnsi="Calibri" w:cs="Calibri"/>
        </w:rPr>
        <w:t xml:space="preserve"> aurkituriko erlazioa migrazioa fenomenoarekiko independentea izango litzateke</w:t>
      </w:r>
      <w:r>
        <w:rPr>
          <w:rFonts w:ascii="Calibri" w:hAnsi="Calibri" w:cs="Calibri"/>
        </w:rPr>
        <w:t xml:space="preserve">. </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Pr>
          <w:rFonts w:ascii="Calibri" w:hAnsi="Calibri" w:cs="Calibri"/>
        </w:rPr>
        <w:t xml:space="preserve">Osasun sistemak maila sozioekonomikoaren araberako desberdintasunak aurkezten dituen aztertzeko, tuberkulosiaren diagnostikoaren atzerapenak eta tratamenduaren betetze zuzenak gabezia-mailarekin erlaziorik duten ikertu da. Lehenengoari dagokionez, biriketako lokalizazioa zuten kasuak soilik erabili dira analisia burutzeko. Izan </w:t>
      </w:r>
      <w:r w:rsidRPr="00BB2262">
        <w:rPr>
          <w:rFonts w:ascii="Calibri" w:hAnsi="Calibri" w:cs="Calibri"/>
        </w:rPr>
        <w:t>ere, gehien ematen den tuberkulosi mota izateaz gain, diagnostikoa estandarizatuena duena ere bada. Hori dela eta, tuberkulosiaren programan diagnostikoaren atzerapenaren kalkuluan kasu hauek bakarrik ebaluatzen dira.</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Pr>
          <w:rFonts w:ascii="Calibri" w:hAnsi="Calibri" w:cs="Calibri"/>
        </w:rPr>
        <w:t>Zenbait ikerketek atzerrian jaiotakoek eta maila sozioekonomiko baxuagoa duten pertsonek osasun zerbitzuetara gutxiago jotzen dutela ondorioztatu dute (</w:t>
      </w:r>
      <w:r>
        <w:rPr>
          <w:rFonts w:ascii="Calibri" w:hAnsi="Calibri" w:cs="Calibri"/>
        </w:rPr>
        <w:fldChar w:fldCharType="begin"/>
      </w:r>
      <w:r>
        <w:rPr>
          <w:rFonts w:ascii="Calibri" w:hAnsi="Calibri" w:cs="Calibri"/>
        </w:rPr>
        <w:instrText xml:space="preserve"> NOTEREF _Ref10115081 \h </w:instrText>
      </w:r>
      <w:r>
        <w:rPr>
          <w:rFonts w:ascii="Calibri" w:hAnsi="Calibri" w:cs="Calibri"/>
        </w:rPr>
      </w:r>
      <w:r>
        <w:rPr>
          <w:rFonts w:ascii="Calibri" w:hAnsi="Calibri" w:cs="Calibri"/>
        </w:rPr>
        <w:fldChar w:fldCharType="separate"/>
      </w:r>
      <w:r>
        <w:rPr>
          <w:rFonts w:ascii="Calibri" w:hAnsi="Calibri" w:cs="Calibri"/>
        </w:rPr>
        <w:t>8</w:t>
      </w:r>
      <w:r>
        <w:rPr>
          <w:rFonts w:ascii="Calibri" w:hAnsi="Calibri" w:cs="Calibri"/>
        </w:rPr>
        <w:fldChar w:fldCharType="end"/>
      </w:r>
      <w:r>
        <w:rPr>
          <w:rFonts w:ascii="Calibri" w:hAnsi="Calibri" w:cs="Calibri"/>
        </w:rPr>
        <w:t>,</w:t>
      </w:r>
      <w:r>
        <w:rPr>
          <w:rFonts w:ascii="Calibri" w:hAnsi="Calibri" w:cs="Calibri"/>
        </w:rPr>
        <w:t>23-25</w:t>
      </w:r>
      <w:r>
        <w:rPr>
          <w:rFonts w:ascii="Calibri" w:hAnsi="Calibri" w:cs="Calibri"/>
        </w:rPr>
        <w:t xml:space="preserve">), diagnostikoaren atzerapena ekar dezakeena. Hala ere, ikerketa honetan ez da diagnostikoaren atzerapena eta gabezia-mailaren zein jaioterriaren arteko erlaziorik antzeman. Horren zergatietako </w:t>
      </w:r>
      <w:r w:rsidRPr="009C0EA1">
        <w:rPr>
          <w:rFonts w:ascii="Calibri" w:hAnsi="Calibri" w:cs="Calibri"/>
          <w:color w:val="000000" w:themeColor="text1"/>
        </w:rPr>
        <w:t xml:space="preserve">bat kolektibo </w:t>
      </w:r>
      <w:r>
        <w:rPr>
          <w:rFonts w:ascii="Calibri" w:hAnsi="Calibri" w:cs="Calibri"/>
        </w:rPr>
        <w:t xml:space="preserve">hauetan tuberkulosiaren susmoa altuagoa dela izan daiteke, osasun-langileei diagnostiko azkar bat egitea errazten diena. Gainera, beste lurralde batzuetan ez bezala, EAEko osasun arreta unibertsala eta doakoa izateak eskuragarritasuna bermatzen du populazio osoan. </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Pr>
          <w:rFonts w:ascii="Calibri" w:hAnsi="Calibri" w:cs="Calibri"/>
        </w:rPr>
        <w:t>Aitzitik, gabezia-mailak tratamendua betetzea baldintzatzen duela ikusi da lan honetan, eta erlazio hori mantendu egiten da erregresio logistikoan jaioterria aintzat hartuta ere. Hau da, maila sozioekonomiko baxuagoa duten pazienteek probabilitate gutxiago izango dituzte tratamendua behar bezala betetzeko, beraien jaioterria dena delakoa izanda</w:t>
      </w:r>
      <w:r w:rsidRPr="008F0F90">
        <w:rPr>
          <w:rFonts w:ascii="Calibri" w:hAnsi="Calibri" w:cs="Calibri"/>
        </w:rPr>
        <w:t>. Hainbat egilek deskribatu dute egoera irregularrean dauden etorkinek, etxerik gabekoek, droga kontsumitzaileek</w:t>
      </w:r>
      <w:r>
        <w:rPr>
          <w:rFonts w:ascii="Calibri" w:hAnsi="Calibri" w:cs="Calibri"/>
        </w:rPr>
        <w:t xml:space="preserve"> edota egoera ekonomiko txarrean dauden</w:t>
      </w:r>
      <w:r w:rsidRPr="008F0F90">
        <w:rPr>
          <w:rFonts w:ascii="Calibri" w:hAnsi="Calibri" w:cs="Calibri"/>
        </w:rPr>
        <w:t xml:space="preserve"> pertsonek probabilitate baxuagoa</w:t>
      </w:r>
      <w:r>
        <w:rPr>
          <w:rFonts w:ascii="Calibri" w:hAnsi="Calibri" w:cs="Calibri"/>
        </w:rPr>
        <w:t xml:space="preserve"> dutela</w:t>
      </w:r>
      <w:r w:rsidRPr="008F0F90">
        <w:rPr>
          <w:rFonts w:ascii="Calibri" w:hAnsi="Calibri" w:cs="Calibri"/>
        </w:rPr>
        <w:t xml:space="preserve"> tratamendu farmakologikoak betetzeko (</w:t>
      </w:r>
      <w:r>
        <w:rPr>
          <w:rFonts w:ascii="Calibri" w:hAnsi="Calibri" w:cs="Calibri"/>
        </w:rPr>
        <w:fldChar w:fldCharType="begin"/>
      </w:r>
      <w:r>
        <w:rPr>
          <w:rFonts w:ascii="Calibri" w:hAnsi="Calibri" w:cs="Calibri"/>
        </w:rPr>
        <w:instrText xml:space="preserve"> NOTEREF _Ref11401361 \h </w:instrText>
      </w:r>
      <w:r>
        <w:rPr>
          <w:rFonts w:ascii="Calibri" w:hAnsi="Calibri" w:cs="Calibri"/>
        </w:rPr>
      </w:r>
      <w:r>
        <w:rPr>
          <w:rFonts w:ascii="Calibri" w:hAnsi="Calibri" w:cs="Calibri"/>
        </w:rPr>
        <w:fldChar w:fldCharType="separate"/>
      </w:r>
      <w:r>
        <w:rPr>
          <w:rFonts w:ascii="Calibri" w:hAnsi="Calibri" w:cs="Calibri"/>
        </w:rPr>
        <w:t>21</w:t>
      </w:r>
      <w:r>
        <w:rPr>
          <w:rFonts w:ascii="Calibri" w:hAnsi="Calibri" w:cs="Calibri"/>
        </w:rPr>
        <w:fldChar w:fldCharType="end"/>
      </w:r>
      <w:r w:rsidRPr="008F0F90">
        <w:rPr>
          <w:rFonts w:ascii="Calibri" w:hAnsi="Calibri" w:cs="Calibri"/>
        </w:rPr>
        <w:t xml:space="preserve">). Atxikipen falta handitu daiteke tuberkulosia bezalako gaixotasunetan, non tratamenduak luzeak diren (hilabeteak) eta, </w:t>
      </w:r>
      <w:r w:rsidRPr="008F0F90">
        <w:rPr>
          <w:rFonts w:ascii="Calibri" w:hAnsi="Calibri" w:cs="Calibri"/>
        </w:rPr>
        <w:lastRenderedPageBreak/>
        <w:t xml:space="preserve">ondorioz, eragin desiragaitzak </w:t>
      </w:r>
      <w:r>
        <w:rPr>
          <w:rFonts w:ascii="Calibri" w:hAnsi="Calibri" w:cs="Calibri"/>
        </w:rPr>
        <w:t>agertzeko probabilitatea</w:t>
      </w:r>
      <w:r w:rsidRPr="008F0F90">
        <w:rPr>
          <w:rFonts w:ascii="Calibri" w:hAnsi="Calibri" w:cs="Calibri"/>
        </w:rPr>
        <w:t xml:space="preserve"> altua. </w:t>
      </w:r>
      <w:r>
        <w:rPr>
          <w:rFonts w:ascii="Calibri" w:hAnsi="Calibri" w:cs="Calibri"/>
        </w:rPr>
        <w:t>Hala ere, kontuan izan behar da tratamendua bete ez dutenen taldea, txikia izateaz gain, nahiko heterogeneoa dela. Horrela, askotan amaitu gabeko tratamendua kontsideratzen da pazientearen jarraipena egitea ezinezkoa den kasuetan, eta ondorioz, atxikipena ezezaguna denean (adibidez, EAEtik kanpo bizitzera joan diren kasuak).</w:t>
      </w:r>
    </w:p>
    <w:p w:rsidR="00EA1049" w:rsidRPr="00F146EB" w:rsidRDefault="00EA1049" w:rsidP="00CC2E2C">
      <w:pPr>
        <w:contextualSpacing/>
        <w:jc w:val="both"/>
        <w:rPr>
          <w:rFonts w:ascii="Calibri" w:hAnsi="Calibri" w:cs="Calibri"/>
        </w:rPr>
      </w:pPr>
    </w:p>
    <w:p w:rsidR="00EA1049" w:rsidRPr="00AB7629" w:rsidRDefault="00EA1049" w:rsidP="00CC2E2C">
      <w:pPr>
        <w:contextualSpacing/>
        <w:jc w:val="both"/>
        <w:rPr>
          <w:rFonts w:ascii="Calibri" w:hAnsi="Calibri" w:cs="Calibri"/>
        </w:rPr>
      </w:pPr>
      <w:r w:rsidRPr="00AB7629">
        <w:rPr>
          <w:rFonts w:ascii="Calibri" w:hAnsi="Calibri" w:cs="Calibri"/>
        </w:rPr>
        <w:t xml:space="preserve">Ikusi denez, 2017an </w:t>
      </w:r>
      <w:r>
        <w:rPr>
          <w:rFonts w:ascii="Calibri" w:hAnsi="Calibri" w:cs="Calibri"/>
        </w:rPr>
        <w:t xml:space="preserve">tuberkulosiaren </w:t>
      </w:r>
      <w:r w:rsidRPr="00AB7629">
        <w:rPr>
          <w:rFonts w:ascii="Calibri" w:hAnsi="Calibri" w:cs="Calibri"/>
        </w:rPr>
        <w:t>tasa estandarizatuen arrazoiak 2003an baino txikiagoak izan dira. Honek adieraz</w:t>
      </w:r>
      <w:r>
        <w:rPr>
          <w:rFonts w:ascii="Calibri" w:hAnsi="Calibri" w:cs="Calibri"/>
        </w:rPr>
        <w:t>ten du</w:t>
      </w:r>
      <w:r w:rsidRPr="00AB7629">
        <w:rPr>
          <w:rFonts w:ascii="Calibri" w:hAnsi="Calibri" w:cs="Calibri"/>
        </w:rPr>
        <w:t xml:space="preserve"> aztertutako denboraldiaren bukaeran gabezia-mailen arteko ezberdintasuna hasieran</w:t>
      </w:r>
      <w:r>
        <w:rPr>
          <w:rFonts w:ascii="Calibri" w:hAnsi="Calibri" w:cs="Calibri"/>
        </w:rPr>
        <w:t xml:space="preserve"> </w:t>
      </w:r>
      <w:r w:rsidRPr="00AB7629">
        <w:rPr>
          <w:rFonts w:ascii="Calibri" w:hAnsi="Calibri" w:cs="Calibri"/>
        </w:rPr>
        <w:t>baino txikiagoa dela. Tuberkulosi kasuen jaitsiera populazioaren bizi baldintzen hobekuntzarekin erlazionatu da.</w:t>
      </w:r>
      <w:r>
        <w:rPr>
          <w:rFonts w:ascii="Calibri" w:hAnsi="Calibri" w:cs="Calibri"/>
        </w:rPr>
        <w:t xml:space="preserve"> Gaixotasun honekin lotutako </w:t>
      </w:r>
      <w:r w:rsidRPr="00AB7629">
        <w:rPr>
          <w:rFonts w:ascii="Calibri" w:hAnsi="Calibri" w:cs="Calibri"/>
        </w:rPr>
        <w:t xml:space="preserve">zenbait arrisku-faktore maila sozioekonomikoari asoziaturik daude; </w:t>
      </w:r>
      <w:r>
        <w:rPr>
          <w:rFonts w:ascii="Calibri" w:hAnsi="Calibri" w:cs="Calibri"/>
        </w:rPr>
        <w:t>esaterako</w:t>
      </w:r>
      <w:r w:rsidRPr="00AB7629">
        <w:rPr>
          <w:rFonts w:ascii="Calibri" w:hAnsi="Calibri" w:cs="Calibri"/>
        </w:rPr>
        <w:t>,</w:t>
      </w:r>
      <w:r>
        <w:rPr>
          <w:rFonts w:ascii="Calibri" w:hAnsi="Calibri" w:cs="Calibri"/>
        </w:rPr>
        <w:t xml:space="preserve"> aurretik aipatutako</w:t>
      </w:r>
      <w:r w:rsidRPr="00AB7629">
        <w:rPr>
          <w:rFonts w:ascii="Calibri" w:hAnsi="Calibri" w:cs="Calibri"/>
        </w:rPr>
        <w:t xml:space="preserve"> tabakismoa</w:t>
      </w:r>
      <w:r>
        <w:rPr>
          <w:rFonts w:ascii="Calibri" w:hAnsi="Calibri" w:cs="Calibri"/>
        </w:rPr>
        <w:t xml:space="preserve"> edo</w:t>
      </w:r>
      <w:r w:rsidRPr="00AB7629">
        <w:rPr>
          <w:rFonts w:ascii="Calibri" w:hAnsi="Calibri" w:cs="Calibri"/>
        </w:rPr>
        <w:t xml:space="preserve"> alkohol kontsumoa (</w:t>
      </w:r>
      <w:r>
        <w:rPr>
          <w:rFonts w:ascii="Calibri" w:hAnsi="Calibri" w:cs="Calibri"/>
        </w:rPr>
        <w:t>26</w:t>
      </w:r>
      <w:r w:rsidRPr="00AB7629">
        <w:rPr>
          <w:rFonts w:ascii="Calibri" w:hAnsi="Calibri" w:cs="Calibri"/>
        </w:rPr>
        <w:t>). Azken urteetan tabako eta alkohol kontsumoak behera egin dute orokorrean, nahiz eta neurri ezberdinean adin-talde eta sexuaren arabera (</w:t>
      </w:r>
      <w:r w:rsidRPr="00AB7629">
        <w:rPr>
          <w:rFonts w:ascii="Calibri" w:hAnsi="Calibri" w:cs="Calibri"/>
        </w:rPr>
        <w:fldChar w:fldCharType="begin"/>
      </w:r>
      <w:r w:rsidRPr="00AB7629">
        <w:rPr>
          <w:rFonts w:ascii="Calibri" w:hAnsi="Calibri" w:cs="Calibri"/>
        </w:rPr>
        <w:instrText xml:space="preserve"> NOTEREF _Ref11326341 \h </w:instrText>
      </w:r>
      <w:r w:rsidRPr="00AB7629">
        <w:rPr>
          <w:rFonts w:ascii="Calibri" w:hAnsi="Calibri" w:cs="Calibri"/>
        </w:rPr>
      </w:r>
      <w:r w:rsidRPr="00AB7629">
        <w:rPr>
          <w:rFonts w:ascii="Calibri" w:hAnsi="Calibri" w:cs="Calibri"/>
        </w:rPr>
        <w:fldChar w:fldCharType="separate"/>
      </w:r>
      <w:r>
        <w:rPr>
          <w:rFonts w:ascii="Calibri" w:hAnsi="Calibri" w:cs="Calibri"/>
        </w:rPr>
        <w:t>20</w:t>
      </w:r>
      <w:r w:rsidRPr="00AB7629">
        <w:rPr>
          <w:rFonts w:ascii="Calibri" w:hAnsi="Calibri" w:cs="Calibri"/>
        </w:rPr>
        <w:fldChar w:fldCharType="end"/>
      </w:r>
      <w:r w:rsidRPr="00AB7629">
        <w:rPr>
          <w:rFonts w:ascii="Calibri" w:hAnsi="Calibri" w:cs="Calibri"/>
        </w:rPr>
        <w:t>). Faktore hauek maila sozioekonomiko baxuagoko populazioan eragin handiagoa dutela kontutan izanda, aipaturiko jaitsierak aztertutako denboraldiaren amaieran ikusi den gabezia-mailen arteko desberdintasunaren gutxitzea</w:t>
      </w:r>
      <w:r>
        <w:rPr>
          <w:rFonts w:ascii="Calibri" w:hAnsi="Calibri" w:cs="Calibri"/>
        </w:rPr>
        <w:t>n lagunduko</w:t>
      </w:r>
      <w:r w:rsidRPr="00AB7629">
        <w:rPr>
          <w:rFonts w:ascii="Calibri" w:hAnsi="Calibri" w:cs="Calibri"/>
        </w:rPr>
        <w:t xml:space="preserve"> luke hein batean.</w:t>
      </w:r>
    </w:p>
    <w:p w:rsidR="00EA1049" w:rsidRPr="00AB7629" w:rsidRDefault="00EA1049" w:rsidP="00CC2E2C">
      <w:pPr>
        <w:contextualSpacing/>
        <w:jc w:val="both"/>
        <w:rPr>
          <w:rFonts w:ascii="Calibri" w:hAnsi="Calibri" w:cs="Calibri"/>
        </w:rPr>
      </w:pPr>
    </w:p>
    <w:p w:rsidR="00EA1049" w:rsidRPr="00D82541" w:rsidRDefault="00EA1049" w:rsidP="00CC2E2C">
      <w:pPr>
        <w:contextualSpacing/>
        <w:jc w:val="both"/>
        <w:rPr>
          <w:rFonts w:ascii="Calibri" w:hAnsi="Calibri" w:cs="Calibri"/>
        </w:rPr>
      </w:pPr>
      <w:r w:rsidRPr="00D82541">
        <w:rPr>
          <w:rFonts w:ascii="Calibri" w:hAnsi="Calibri" w:cs="Calibri"/>
        </w:rPr>
        <w:t>Ikerketa honen mugetako bat maila sozioekonomikoaren egokitzapen ekologikoa da, zeina kasuaren errolda-sekzioaren arabera eta ez banakako informazioaren bitartez egin den. Hala ere, mota honetako adierazle sozioekonomikoen erabilera oso zabalduta dago (</w:t>
      </w:r>
      <w:r w:rsidRPr="00D82541">
        <w:rPr>
          <w:rFonts w:ascii="Calibri" w:hAnsi="Calibri" w:cs="Calibri"/>
        </w:rPr>
        <w:fldChar w:fldCharType="begin"/>
      </w:r>
      <w:r w:rsidRPr="00D82541">
        <w:rPr>
          <w:rFonts w:ascii="Calibri" w:hAnsi="Calibri" w:cs="Calibri"/>
        </w:rPr>
        <w:instrText xml:space="preserve"> NOTEREF _Ref10115081 \h </w:instrText>
      </w:r>
      <w:r w:rsidRPr="00D82541">
        <w:rPr>
          <w:rFonts w:ascii="Calibri" w:hAnsi="Calibri" w:cs="Calibri"/>
        </w:rPr>
      </w:r>
      <w:r w:rsidRPr="00D82541">
        <w:rPr>
          <w:rFonts w:ascii="Calibri" w:hAnsi="Calibri" w:cs="Calibri"/>
        </w:rPr>
        <w:fldChar w:fldCharType="separate"/>
      </w:r>
      <w:r>
        <w:rPr>
          <w:rFonts w:ascii="Calibri" w:hAnsi="Calibri" w:cs="Calibri"/>
        </w:rPr>
        <w:t>8</w:t>
      </w:r>
      <w:r w:rsidRPr="00D82541">
        <w:rPr>
          <w:rFonts w:ascii="Calibri" w:hAnsi="Calibri" w:cs="Calibri"/>
        </w:rPr>
        <w:fldChar w:fldCharType="end"/>
      </w:r>
      <w:r w:rsidRPr="00D82541">
        <w:rPr>
          <w:rFonts w:ascii="Calibri" w:hAnsi="Calibri" w:cs="Calibri"/>
        </w:rPr>
        <w:t>,</w:t>
      </w:r>
      <w:r>
        <w:rPr>
          <w:rFonts w:ascii="Calibri" w:hAnsi="Calibri" w:cs="Calibri"/>
        </w:rPr>
        <w:fldChar w:fldCharType="begin"/>
      </w:r>
      <w:r>
        <w:rPr>
          <w:rFonts w:ascii="Calibri" w:hAnsi="Calibri" w:cs="Calibri"/>
        </w:rPr>
        <w:instrText xml:space="preserve"> NOTEREF _Ref13475760 \h </w:instrText>
      </w:r>
      <w:r>
        <w:rPr>
          <w:rFonts w:ascii="Calibri" w:hAnsi="Calibri" w:cs="Calibri"/>
        </w:rPr>
      </w:r>
      <w:r>
        <w:rPr>
          <w:rFonts w:ascii="Calibri" w:hAnsi="Calibri" w:cs="Calibri"/>
        </w:rPr>
        <w:fldChar w:fldCharType="separate"/>
      </w:r>
      <w:r>
        <w:rPr>
          <w:rFonts w:ascii="Calibri" w:hAnsi="Calibri" w:cs="Calibri"/>
        </w:rPr>
        <w:t>14</w:t>
      </w:r>
      <w:r>
        <w:rPr>
          <w:rFonts w:ascii="Calibri" w:hAnsi="Calibri" w:cs="Calibri"/>
        </w:rPr>
        <w:fldChar w:fldCharType="end"/>
      </w:r>
      <w:r>
        <w:rPr>
          <w:rFonts w:ascii="Calibri" w:hAnsi="Calibri" w:cs="Calibri"/>
        </w:rPr>
        <w:t>,</w:t>
      </w:r>
      <w:r>
        <w:rPr>
          <w:rFonts w:ascii="Calibri" w:hAnsi="Calibri" w:cs="Calibri"/>
        </w:rPr>
        <w:t>27</w:t>
      </w:r>
      <w:r w:rsidRPr="00D82541">
        <w:rPr>
          <w:rFonts w:ascii="Calibri" w:hAnsi="Calibri" w:cs="Calibri"/>
        </w:rPr>
        <w:t>), informazio hau modu indibidualean jasotzeko zailtasuna</w:t>
      </w:r>
      <w:r>
        <w:rPr>
          <w:rFonts w:ascii="Calibri" w:hAnsi="Calibri" w:cs="Calibri"/>
        </w:rPr>
        <w:t>k</w:t>
      </w:r>
      <w:r w:rsidRPr="00D82541">
        <w:rPr>
          <w:rFonts w:ascii="Calibri" w:hAnsi="Calibri" w:cs="Calibri"/>
        </w:rPr>
        <w:t xml:space="preserve"> direla eta.</w:t>
      </w:r>
      <w:r>
        <w:rPr>
          <w:rFonts w:ascii="Calibri" w:hAnsi="Calibri" w:cs="Calibri"/>
        </w:rPr>
        <w:t xml:space="preserve"> Beste muga bat gabezia-indizearen kalkulua izan daiteke. </w:t>
      </w:r>
      <w:r w:rsidRPr="00414E0A">
        <w:rPr>
          <w:rFonts w:ascii="Calibri" w:hAnsi="Calibri" w:cs="Calibri"/>
        </w:rPr>
        <w:t>Aurretik aipatu den moduan</w:t>
      </w:r>
      <w:r>
        <w:rPr>
          <w:rFonts w:ascii="Calibri" w:hAnsi="Calibri" w:cs="Calibri"/>
        </w:rPr>
        <w:t>, indizea hau 2011 datuekin kalkulatu zen; izan ere, 10 urtetik behin kalkulatu egiten da, aurrekoa 2001.urtekoa izanik. Lan honetan 2003-2017 denboraldiko datua aztertu dira, eta denbora horretan sekzioren baten gabezia-maila aldatu bada, eragina izango luke lortutako emaitzetan.</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p>
    <w:p w:rsidR="00EA1049" w:rsidRPr="00380276" w:rsidRDefault="00EA1049" w:rsidP="00CC2E2C">
      <w:pPr>
        <w:contextualSpacing/>
        <w:jc w:val="both"/>
        <w:rPr>
          <w:rFonts w:ascii="Calibri" w:hAnsi="Calibri" w:cs="Calibri"/>
          <w:b/>
        </w:rPr>
      </w:pPr>
      <w:r w:rsidRPr="00380276">
        <w:rPr>
          <w:rFonts w:ascii="Calibri" w:hAnsi="Calibri" w:cs="Calibri"/>
          <w:b/>
        </w:rPr>
        <w:t>Ondorioak</w:t>
      </w:r>
    </w:p>
    <w:p w:rsidR="00EA1049" w:rsidRDefault="00EA1049" w:rsidP="00CC2E2C">
      <w:pPr>
        <w:contextualSpacing/>
        <w:jc w:val="both"/>
        <w:rPr>
          <w:rFonts w:ascii="Calibri" w:hAnsi="Calibri" w:cs="Calibri"/>
        </w:rPr>
      </w:pPr>
    </w:p>
    <w:p w:rsidR="00EA1049" w:rsidRDefault="00EA1049" w:rsidP="00CC2E2C">
      <w:pPr>
        <w:contextualSpacing/>
        <w:jc w:val="both"/>
        <w:rPr>
          <w:rFonts w:ascii="Calibri" w:hAnsi="Calibri" w:cs="Calibri"/>
        </w:rPr>
      </w:pPr>
      <w:r>
        <w:rPr>
          <w:rFonts w:ascii="Calibri" w:hAnsi="Calibri" w:cs="Calibri"/>
        </w:rPr>
        <w:t>Gipuzkoan tuberkulosiaren intzidentzia ekologikoki esleitutako gabezia-mailarekin asoziaturik dago. Osasun arretari dagokionean, ez da maila sozioekonomikoa eta diagnostikoaren atzerapenaren arteko erlaziorik aurkitu; bai ordea tratamendua betetzearekin, gabezia-maila baxuetan tratamendua betetzeko probabilitatea txikiagoa delarik. Honela, populazioaren bizi baldintzak hobetuko lituzketen politikek, batez ere bazterturiko gizataldeei zuzendurikoek, tuberkulosiaren kontrolean eragina izango lukete.</w:t>
      </w:r>
    </w:p>
    <w:p w:rsidR="00EA1049" w:rsidRDefault="00EA1049">
      <w:pPr>
        <w:rPr>
          <w:b/>
          <w:sz w:val="28"/>
        </w:rPr>
      </w:pPr>
      <w:r>
        <w:rPr>
          <w:b/>
          <w:sz w:val="28"/>
        </w:rPr>
        <w:br w:type="page"/>
      </w:r>
    </w:p>
    <w:p w:rsidR="00EA1049" w:rsidRPr="00EA1049" w:rsidRDefault="00EA1049" w:rsidP="00010E06">
      <w:pPr>
        <w:rPr>
          <w:b/>
          <w:sz w:val="28"/>
        </w:rPr>
      </w:pPr>
      <w:r w:rsidRPr="00EA1049">
        <w:rPr>
          <w:b/>
          <w:sz w:val="28"/>
        </w:rPr>
        <w:lastRenderedPageBreak/>
        <w:t>BIBLIOGRAFIA</w:t>
      </w:r>
    </w:p>
    <w:p w:rsidR="00EA1049" w:rsidRDefault="00EA1049" w:rsidP="00B328D1">
      <w:pPr>
        <w:spacing w:after="60"/>
        <w:jc w:val="both"/>
      </w:pPr>
    </w:p>
    <w:p w:rsidR="00010E06" w:rsidRDefault="00010E06" w:rsidP="00B328D1">
      <w:pPr>
        <w:spacing w:after="60"/>
        <w:jc w:val="both"/>
      </w:pPr>
      <w:r>
        <w:t xml:space="preserve">(1) </w:t>
      </w:r>
      <w:r>
        <w:t>Marmot M, UCL Institute of Health Equity. Review of social determinants and the health divide in the WHO European Region. Copenhagen. 2013.</w:t>
      </w:r>
    </w:p>
    <w:p w:rsidR="00010E06" w:rsidRDefault="00010E06" w:rsidP="00B328D1">
      <w:pPr>
        <w:spacing w:after="60"/>
        <w:jc w:val="both"/>
      </w:pPr>
      <w:r>
        <w:t xml:space="preserve">(2) </w:t>
      </w:r>
      <w:r>
        <w:t>Adler NE, Glymour MM, Fielding J. Addressing social determinants of health and health inequalities. JAMA. 2016; 316(16):1641–2.</w:t>
      </w:r>
      <w:bookmarkStart w:id="3" w:name="_GoBack"/>
      <w:bookmarkEnd w:id="3"/>
    </w:p>
    <w:p w:rsidR="00010E06" w:rsidRDefault="00010E06" w:rsidP="00B328D1">
      <w:pPr>
        <w:spacing w:after="60"/>
        <w:jc w:val="both"/>
      </w:pPr>
      <w:r>
        <w:t xml:space="preserve">(3) </w:t>
      </w:r>
      <w:r>
        <w:t xml:space="preserve">Eusko Jaurlaritzaren Osasun Saila. Osasuna, Pertsonen Eskubidea, Guztion Ardura. Póliticas de Salud para Euskadi 2013-2020. Vitoria-Gasteiz. Eusko Jaurlaritzaren Argitalpen Zerbitzu Nagusia 2014. </w:t>
      </w:r>
    </w:p>
    <w:p w:rsidR="00010E06" w:rsidRDefault="00010E06" w:rsidP="00B328D1">
      <w:pPr>
        <w:spacing w:after="60"/>
        <w:jc w:val="both"/>
      </w:pPr>
      <w:r>
        <w:t xml:space="preserve">(4) </w:t>
      </w:r>
      <w:r>
        <w:t xml:space="preserve">Esnaola S, Aldasoro E, Ruiz R, Audicana C, Perez Y, Calvo M. Socioeconomic inequalities in mortality in the Basque Country (Spain). Gac Sanit. 2006; 20(1):16-24. </w:t>
      </w:r>
    </w:p>
    <w:p w:rsidR="00010E06" w:rsidRDefault="00010E06" w:rsidP="00B328D1">
      <w:pPr>
        <w:spacing w:after="60"/>
        <w:jc w:val="both"/>
      </w:pPr>
      <w:r>
        <w:t xml:space="preserve">(5) </w:t>
      </w:r>
      <w:r>
        <w:t>Larranaga I, Arteagoitia JM, Rodriguez JL, Gonzalez F, Esnaola S, Pinies JA. Socio-economic inequalities in the prevalence of Type 2 diabetes, cardiovascular risk factors and chronic diabetic complications in the Basque Country, Spain. Diabet Med. 2005; 22(8):1047-1053.</w:t>
      </w:r>
    </w:p>
    <w:p w:rsidR="00010E06" w:rsidRDefault="00D11BB1" w:rsidP="00B328D1">
      <w:pPr>
        <w:spacing w:after="60"/>
        <w:jc w:val="both"/>
      </w:pPr>
      <w:r>
        <w:t xml:space="preserve">(6) </w:t>
      </w:r>
      <w:r w:rsidR="00010E06">
        <w:t>Orueta JF, Nuno-Solinis R, Garcia-Alvarez A, Alonso-Moran E. Prevalence of multimorbidity according to the deprivation level among the elderly in the Basque Country. BMC Public Health. 2013;  13(1):918.</w:t>
      </w:r>
    </w:p>
    <w:p w:rsidR="00010E06" w:rsidRDefault="00D11BB1" w:rsidP="00B328D1">
      <w:pPr>
        <w:spacing w:after="60"/>
        <w:jc w:val="both"/>
      </w:pPr>
      <w:r>
        <w:t xml:space="preserve">(7) </w:t>
      </w:r>
      <w:r w:rsidR="00010E06">
        <w:t>Bacigalupe A, Esnaola S, Martin U, Borrell C. Two decades of inequalities in smoking prevalence, initiation and cessation in a southern European region: 1986-2007. Eur J Public Health. 2013; 23(4):552-558.</w:t>
      </w:r>
    </w:p>
    <w:p w:rsidR="00010E06" w:rsidRDefault="00D11BB1" w:rsidP="00B328D1">
      <w:pPr>
        <w:spacing w:after="60"/>
        <w:jc w:val="both"/>
      </w:pPr>
      <w:r>
        <w:t xml:space="preserve">(8) </w:t>
      </w:r>
      <w:r w:rsidR="00010E06">
        <w:t>Hurtado JL, Bacigalupe A, Calvo M, Esnaola S, Mendizabal N, Portillo I, Idigoras I, Millán E, Arana-Arri E. Social inequalities in a population based colorectal cancer screening programme in the Basque Country. BMC Public Health. 2015; 15:1021.</w:t>
      </w:r>
    </w:p>
    <w:p w:rsidR="00010E06" w:rsidRDefault="00D11BB1" w:rsidP="00B328D1">
      <w:pPr>
        <w:spacing w:after="60"/>
        <w:jc w:val="both"/>
      </w:pPr>
      <w:r>
        <w:t xml:space="preserve">(9) </w:t>
      </w:r>
      <w:r w:rsidR="00010E06">
        <w:t xml:space="preserve">Creswell J, Jaramillo E, Lonnroth K, Weil D, Raviglione M. Tuberculosis and poverty: what is being done. Int J Tuberc Lung Dis. 2011; 15(4):431–432 </w:t>
      </w:r>
    </w:p>
    <w:p w:rsidR="00010E06" w:rsidRDefault="00D11BB1" w:rsidP="00B328D1">
      <w:pPr>
        <w:spacing w:after="60"/>
        <w:jc w:val="both"/>
      </w:pPr>
      <w:r>
        <w:t xml:space="preserve">(10) </w:t>
      </w:r>
      <w:r w:rsidR="00010E06">
        <w:t>Global tuberculosis report 2018. Genova: Osasunaren Munduko Erakundea; 2018. Lizentzia: CC BY-NC-SA 3.0 IGO.</w:t>
      </w:r>
    </w:p>
    <w:p w:rsidR="00010E06" w:rsidRDefault="00D11BB1" w:rsidP="00B328D1">
      <w:pPr>
        <w:spacing w:after="60"/>
        <w:jc w:val="both"/>
      </w:pPr>
      <w:r>
        <w:t xml:space="preserve">(11) </w:t>
      </w:r>
      <w:r w:rsidR="00010E06">
        <w:t>LaFreniere M, Hussain H, He N, McGuire M. Tuberculosis in Canada, 2017. Can Commun Dis Rep. 2019; 45(2-3):67-74.</w:t>
      </w:r>
    </w:p>
    <w:p w:rsidR="00010E06" w:rsidRDefault="00D11BB1" w:rsidP="00B328D1">
      <w:pPr>
        <w:spacing w:after="60"/>
        <w:jc w:val="both"/>
      </w:pPr>
      <w:r>
        <w:t xml:space="preserve">(12) </w:t>
      </w:r>
      <w:r w:rsidR="00010E06">
        <w:t>Apolinário D, Ribeiro AI, Krainski E, Sousa P, Abranches M, Duarte R. Tuberculosis inequalities and socio-economic deprivation in Portugal. Int J Tuberc Lung Dis. 2017; 21(7):784-789.</w:t>
      </w:r>
    </w:p>
    <w:p w:rsidR="00010E06" w:rsidRDefault="00D11BB1" w:rsidP="00B328D1">
      <w:pPr>
        <w:spacing w:after="60"/>
        <w:jc w:val="both"/>
      </w:pPr>
      <w:r>
        <w:t xml:space="preserve">(13) </w:t>
      </w:r>
      <w:r w:rsidR="00010E06">
        <w:t>Prats-Uribe A, Orcau A, Millet JP, Caylà JA. Impact of socio-economic inequities on tuberculosis in a Southern European city: what is the effect of the recession? Int J Tuberc Lung Dis. 2019; 23(1):45-51.</w:t>
      </w:r>
    </w:p>
    <w:p w:rsidR="00010E06" w:rsidRDefault="00D11BB1" w:rsidP="00B328D1">
      <w:pPr>
        <w:spacing w:after="60"/>
        <w:jc w:val="both"/>
      </w:pPr>
      <w:r>
        <w:t xml:space="preserve">(14) </w:t>
      </w:r>
      <w:r w:rsidR="00010E06">
        <w:t>Sohn M, Kim H, Sung H, Lee Y, Choi H, Chung H. Association of social deprivation and outdoor air pollution with pulmonary tuberculosis in spatiotemporal analysis. Int J Environ Health Res. 2019; 30:1-11.</w:t>
      </w:r>
    </w:p>
    <w:p w:rsidR="00010E06" w:rsidRDefault="00D11BB1" w:rsidP="00B328D1">
      <w:pPr>
        <w:spacing w:after="60"/>
        <w:jc w:val="both"/>
      </w:pPr>
      <w:r>
        <w:t xml:space="preserve">(15) </w:t>
      </w:r>
      <w:r w:rsidR="00010E06">
        <w:t xml:space="preserve">Domínguez-Berjón MF, Borrell C, Cano-Serral G, Esnaola S, Nolasco A, Pasarín MI, Ramis R, Saurina C, Escolar-Pujolar A. Construcción de un índice de privación a partir de datos censales en grandes ciudades españolas (Proyecto MEDEA). Gac Sanit. 2008; 22(3):179-87. </w:t>
      </w:r>
    </w:p>
    <w:p w:rsidR="00010E06" w:rsidRDefault="00D11BB1" w:rsidP="00B328D1">
      <w:pPr>
        <w:spacing w:after="60"/>
        <w:jc w:val="both"/>
      </w:pPr>
      <w:r>
        <w:lastRenderedPageBreak/>
        <w:t>(16) I</w:t>
      </w:r>
      <w:r w:rsidR="00010E06">
        <w:t>BM Corp. Released 2012. IBM SPSS Statistics for Windows, Version 25.0. Armonk, NY: IBM Corp</w:t>
      </w:r>
      <w:r>
        <w:t>.</w:t>
      </w:r>
    </w:p>
    <w:p w:rsidR="00010E06" w:rsidRDefault="00C142A0" w:rsidP="00B328D1">
      <w:pPr>
        <w:spacing w:after="60"/>
        <w:jc w:val="both"/>
      </w:pPr>
      <w:r>
        <w:t xml:space="preserve">(17) </w:t>
      </w:r>
      <w:r w:rsidR="00010E06">
        <w:t>Joinpoint Regression Program, Version 4.1.1. August 2014; Statistical Research and Applications Branch, National Cancer Institute</w:t>
      </w:r>
    </w:p>
    <w:p w:rsidR="00010E06" w:rsidRDefault="00C142A0" w:rsidP="00B328D1">
      <w:pPr>
        <w:spacing w:after="60"/>
        <w:jc w:val="both"/>
      </w:pPr>
      <w:r>
        <w:t xml:space="preserve">(18) </w:t>
      </w:r>
      <w:r w:rsidR="00010E06">
        <w:t>Kim HJ, Fay MP, Feuer EJ, Midthune DN. Permutation tests for joinpoint regression with applications to cancer rates. Stat Med. 2000; 19:335–51 (correction: 2001;20:655).</w:t>
      </w:r>
    </w:p>
    <w:p w:rsidR="00010E06" w:rsidRDefault="00C142A0" w:rsidP="00B328D1">
      <w:pPr>
        <w:spacing w:after="60"/>
        <w:jc w:val="both"/>
      </w:pPr>
      <w:r>
        <w:t xml:space="preserve">(19) </w:t>
      </w:r>
      <w:r w:rsidR="00010E06">
        <w:t>Baker M, Das D, Venugopal K, Howden-Chapman P. Tuberculosis associated with household crowding in a developed country. J Epidemiol Community Health. 2008; 62(8):715-721.</w:t>
      </w:r>
    </w:p>
    <w:p w:rsidR="00010E06" w:rsidRDefault="00C142A0" w:rsidP="00B328D1">
      <w:pPr>
        <w:spacing w:after="60"/>
        <w:jc w:val="both"/>
      </w:pPr>
      <w:r>
        <w:t xml:space="preserve">(20) </w:t>
      </w:r>
      <w:r w:rsidR="00010E06">
        <w:t>Esnaola S, de Diego M, Elorriaga E, Martín U, Bacigalupe A, Calvo M, Aldasoro E, Pardillo B. Datu garrantzitsuak 2013ko Euskal Osasun Inkesta. Vitoria-Gasteiz. Osasun Saila, Azterlan eta Ikerkuntza Sanitarioko Zerbitzua 2013</w:t>
      </w:r>
    </w:p>
    <w:p w:rsidR="00010E06" w:rsidRDefault="00C142A0" w:rsidP="00B328D1">
      <w:pPr>
        <w:spacing w:after="60"/>
        <w:jc w:val="both"/>
      </w:pPr>
      <w:r>
        <w:t xml:space="preserve">(21) </w:t>
      </w:r>
      <w:r w:rsidR="00010E06">
        <w:t>de Vries SG, Cremers AL, Heuvelings CC, Greve PF, Visser BJ, Bélard S, Janssen S, Spijker R, Shaw B, Hill RA, Zumla A, van der Werf MJ, Sandgren A, Grobusch MP. Barriers and facilitators to the uptake of tuberculosis diagnostic and treatment services by hard-to-reach populations in countries of low and medium tuberculosis incidence: a systematic review of qualitative literature. Lancet Infect Dis. 2017; 17(5):e128-e143.</w:t>
      </w:r>
    </w:p>
    <w:p w:rsidR="00010E06" w:rsidRDefault="00C142A0" w:rsidP="00B328D1">
      <w:pPr>
        <w:spacing w:after="60"/>
        <w:jc w:val="both"/>
      </w:pPr>
      <w:r>
        <w:t xml:space="preserve">(22) </w:t>
      </w:r>
      <w:r w:rsidR="00010E06">
        <w:t>Heuvelings CC, de Vries SG, Greve PF, Visser BJ, Bélard S, Janssen S, Cremers AL, Spijker R, Shaw B, Hill RA, Zumla A, Sandgren A, van der Werf MJ, Grobusch MP. Effectiveness of interventions for diagnosis and treatment of tuberculosis in hard-to-reach populations in countries of low and medium tuberculosis incidence: a systematic review. Lancet Infect Dis. 2017; 17(5):e144-e158.</w:t>
      </w:r>
    </w:p>
    <w:p w:rsidR="00010E06" w:rsidRDefault="00C142A0" w:rsidP="00B328D1">
      <w:pPr>
        <w:spacing w:after="60"/>
        <w:jc w:val="both"/>
      </w:pPr>
      <w:r>
        <w:t xml:space="preserve">(23) </w:t>
      </w:r>
      <w:r w:rsidR="00010E06">
        <w:t>Morteruel M, Rodriguez-Alvarez E, Martin U, Bacigalupe A. Inequalities in Health Services Usage in a National Health System Scheme: The Case of a Southern Social European Region. Nurs Res. 2018; 67(1):26-34.</w:t>
      </w:r>
    </w:p>
    <w:p w:rsidR="00010E06" w:rsidRDefault="00C142A0" w:rsidP="00B328D1">
      <w:pPr>
        <w:spacing w:after="60"/>
        <w:jc w:val="both"/>
      </w:pPr>
      <w:r>
        <w:t xml:space="preserve">(24) </w:t>
      </w:r>
      <w:r w:rsidR="00010E06">
        <w:t>Carmona R, Alcázar-Alcázar R, Sarria-Santamera A, Regidor E. [Use of health services for immigrants and native population: a systematic review]. Rev Esp Salud Publica. 2014; 88(1):135-55.</w:t>
      </w:r>
    </w:p>
    <w:p w:rsidR="00010E06" w:rsidRDefault="00C142A0" w:rsidP="00B328D1">
      <w:pPr>
        <w:spacing w:after="60"/>
        <w:jc w:val="both"/>
      </w:pPr>
      <w:r>
        <w:t xml:space="preserve">(25) </w:t>
      </w:r>
      <w:r w:rsidR="00010E06">
        <w:t xml:space="preserve">Rodríguez-Álvarez E, Lanborena N, Borrell LN. Health Services Access Inequalities Between Native and Immigrant in a Southern European Region. Int J Health Serv. 2019; 49(1):108-126. </w:t>
      </w:r>
    </w:p>
    <w:p w:rsidR="00010E06" w:rsidRDefault="00C142A0" w:rsidP="00B328D1">
      <w:pPr>
        <w:spacing w:after="60"/>
        <w:jc w:val="both"/>
      </w:pPr>
      <w:r>
        <w:t xml:space="preserve">(26) </w:t>
      </w:r>
      <w:r w:rsidR="00010E06">
        <w:t>EAEko Zaintza Epidemiologikoaren Unitateak. Tuberkulosia EAEn 2017. Vitoria-Gasteiz. Osasun saila 2018</w:t>
      </w:r>
    </w:p>
    <w:p w:rsidR="006A5143" w:rsidRDefault="00C142A0" w:rsidP="00B328D1">
      <w:pPr>
        <w:spacing w:after="60"/>
        <w:jc w:val="both"/>
      </w:pPr>
      <w:r>
        <w:t xml:space="preserve">(27) </w:t>
      </w:r>
      <w:r w:rsidR="00010E06">
        <w:t>de Castro DB, de Seixas Maciel EMG, Sadahiro M, Pinto RC, de Albuquerque BC, Braga JU. Tuberculosis incidence inequalities and its social determinants in Manaus from 2007 to 2016. Int J Equity Health. 2018; 17(1):187.</w:t>
      </w:r>
    </w:p>
    <w:sectPr w:rsidR="006A5143">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049" w:rsidRDefault="00EA1049" w:rsidP="00EA1049">
      <w:pPr>
        <w:spacing w:after="0" w:line="240" w:lineRule="auto"/>
      </w:pPr>
      <w:r>
        <w:separator/>
      </w:r>
    </w:p>
  </w:endnote>
  <w:endnote w:type="continuationSeparator" w:id="0">
    <w:p w:rsidR="00EA1049" w:rsidRDefault="00EA1049" w:rsidP="00EA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049" w:rsidRDefault="00EA1049" w:rsidP="00EA1049">
      <w:pPr>
        <w:spacing w:after="0" w:line="240" w:lineRule="auto"/>
      </w:pPr>
      <w:r>
        <w:separator/>
      </w:r>
    </w:p>
  </w:footnote>
  <w:footnote w:type="continuationSeparator" w:id="0">
    <w:p w:rsidR="00EA1049" w:rsidRDefault="00EA1049" w:rsidP="00EA10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dirty"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06"/>
    <w:rsid w:val="00010E06"/>
    <w:rsid w:val="006A5143"/>
    <w:rsid w:val="00701EFA"/>
    <w:rsid w:val="00B328D1"/>
    <w:rsid w:val="00C142A0"/>
    <w:rsid w:val="00CC2E2C"/>
    <w:rsid w:val="00D11BB1"/>
    <w:rsid w:val="00EA1049"/>
    <w:rsid w:val="00ED5E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0E06"/>
    <w:pPr>
      <w:ind w:left="720"/>
      <w:contextualSpacing/>
    </w:pPr>
  </w:style>
  <w:style w:type="paragraph" w:customStyle="1" w:styleId="Default">
    <w:name w:val="Default"/>
    <w:rsid w:val="00EA10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notaalfinal">
    <w:name w:val="endnote text"/>
    <w:basedOn w:val="Normal"/>
    <w:link w:val="TextonotaalfinalCar"/>
    <w:rsid w:val="00EA1049"/>
    <w:pPr>
      <w:spacing w:after="0" w:line="240" w:lineRule="auto"/>
    </w:pPr>
    <w:rPr>
      <w:rFonts w:ascii="Times New Roman" w:eastAsia="Times New Roman" w:hAnsi="Times New Roman" w:cs="Times New Roman"/>
      <w:sz w:val="20"/>
      <w:szCs w:val="20"/>
      <w:lang w:eastAsia="es-ES_tradnl"/>
    </w:rPr>
  </w:style>
  <w:style w:type="character" w:customStyle="1" w:styleId="TextonotaalfinalCar">
    <w:name w:val="Texto nota al final Car"/>
    <w:basedOn w:val="Fuentedeprrafopredeter"/>
    <w:link w:val="Textonotaalfinal"/>
    <w:rsid w:val="00EA1049"/>
    <w:rPr>
      <w:rFonts w:ascii="Times New Roman" w:eastAsia="Times New Roman" w:hAnsi="Times New Roman" w:cs="Times New Roman"/>
      <w:sz w:val="20"/>
      <w:szCs w:val="20"/>
      <w:lang w:val="eu-ES" w:eastAsia="es-ES_tradnl"/>
    </w:rPr>
  </w:style>
  <w:style w:type="character" w:styleId="Refdenotaalfinal">
    <w:name w:val="endnote reference"/>
    <w:rsid w:val="00EA1049"/>
    <w:rPr>
      <w:vertAlign w:val="superscript"/>
    </w:rPr>
  </w:style>
  <w:style w:type="paragraph" w:styleId="NormalWeb">
    <w:name w:val="Normal (Web)"/>
    <w:basedOn w:val="Normal"/>
    <w:uiPriority w:val="99"/>
    <w:unhideWhenUsed/>
    <w:rsid w:val="00EA10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EA1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049"/>
    <w:rPr>
      <w:rFonts w:ascii="Tahoma" w:hAnsi="Tahoma" w:cs="Tahoma"/>
      <w:sz w:val="16"/>
      <w:szCs w:val="16"/>
      <w:lang w:val="eu-ES"/>
    </w:rPr>
  </w:style>
  <w:style w:type="paragraph" w:styleId="Textonotapie">
    <w:name w:val="footnote text"/>
    <w:basedOn w:val="Normal"/>
    <w:link w:val="TextonotapieCar"/>
    <w:uiPriority w:val="99"/>
    <w:semiHidden/>
    <w:unhideWhenUsed/>
    <w:rsid w:val="00EA10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1049"/>
    <w:rPr>
      <w:sz w:val="20"/>
      <w:szCs w:val="20"/>
      <w:lang w:val="eu-ES"/>
    </w:rPr>
  </w:style>
  <w:style w:type="character" w:styleId="Refdenotaalpie">
    <w:name w:val="footnote reference"/>
    <w:basedOn w:val="Fuentedeprrafopredeter"/>
    <w:uiPriority w:val="99"/>
    <w:semiHidden/>
    <w:unhideWhenUsed/>
    <w:rsid w:val="00EA10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0E06"/>
    <w:pPr>
      <w:ind w:left="720"/>
      <w:contextualSpacing/>
    </w:pPr>
  </w:style>
  <w:style w:type="paragraph" w:customStyle="1" w:styleId="Default">
    <w:name w:val="Default"/>
    <w:rsid w:val="00EA10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notaalfinal">
    <w:name w:val="endnote text"/>
    <w:basedOn w:val="Normal"/>
    <w:link w:val="TextonotaalfinalCar"/>
    <w:rsid w:val="00EA1049"/>
    <w:pPr>
      <w:spacing w:after="0" w:line="240" w:lineRule="auto"/>
    </w:pPr>
    <w:rPr>
      <w:rFonts w:ascii="Times New Roman" w:eastAsia="Times New Roman" w:hAnsi="Times New Roman" w:cs="Times New Roman"/>
      <w:sz w:val="20"/>
      <w:szCs w:val="20"/>
      <w:lang w:eastAsia="es-ES_tradnl"/>
    </w:rPr>
  </w:style>
  <w:style w:type="character" w:customStyle="1" w:styleId="TextonotaalfinalCar">
    <w:name w:val="Texto nota al final Car"/>
    <w:basedOn w:val="Fuentedeprrafopredeter"/>
    <w:link w:val="Textonotaalfinal"/>
    <w:rsid w:val="00EA1049"/>
    <w:rPr>
      <w:rFonts w:ascii="Times New Roman" w:eastAsia="Times New Roman" w:hAnsi="Times New Roman" w:cs="Times New Roman"/>
      <w:sz w:val="20"/>
      <w:szCs w:val="20"/>
      <w:lang w:val="eu-ES" w:eastAsia="es-ES_tradnl"/>
    </w:rPr>
  </w:style>
  <w:style w:type="character" w:styleId="Refdenotaalfinal">
    <w:name w:val="endnote reference"/>
    <w:rsid w:val="00EA1049"/>
    <w:rPr>
      <w:vertAlign w:val="superscript"/>
    </w:rPr>
  </w:style>
  <w:style w:type="paragraph" w:styleId="NormalWeb">
    <w:name w:val="Normal (Web)"/>
    <w:basedOn w:val="Normal"/>
    <w:uiPriority w:val="99"/>
    <w:unhideWhenUsed/>
    <w:rsid w:val="00EA10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EA1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049"/>
    <w:rPr>
      <w:rFonts w:ascii="Tahoma" w:hAnsi="Tahoma" w:cs="Tahoma"/>
      <w:sz w:val="16"/>
      <w:szCs w:val="16"/>
      <w:lang w:val="eu-ES"/>
    </w:rPr>
  </w:style>
  <w:style w:type="paragraph" w:styleId="Textonotapie">
    <w:name w:val="footnote text"/>
    <w:basedOn w:val="Normal"/>
    <w:link w:val="TextonotapieCar"/>
    <w:uiPriority w:val="99"/>
    <w:semiHidden/>
    <w:unhideWhenUsed/>
    <w:rsid w:val="00EA10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1049"/>
    <w:rPr>
      <w:sz w:val="20"/>
      <w:szCs w:val="20"/>
      <w:lang w:val="eu-ES"/>
    </w:rPr>
  </w:style>
  <w:style w:type="character" w:styleId="Refdenotaalpie">
    <w:name w:val="footnote reference"/>
    <w:basedOn w:val="Fuentedeprrafopredeter"/>
    <w:uiPriority w:val="99"/>
    <w:semiHidden/>
    <w:unhideWhenUsed/>
    <w:rsid w:val="00EA10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EJWP1043\D08106011\TUBERCULOSIS\Privaci&#243;n\Evolucion_RTE_2003-2017.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621882054952918E-2"/>
          <c:y val="9.1991688538932637E-2"/>
          <c:w val="0.90113569370262281"/>
          <c:h val="0.65378161875570306"/>
        </c:manualLayout>
      </c:layout>
      <c:lineChart>
        <c:grouping val="standard"/>
        <c:varyColors val="0"/>
        <c:ser>
          <c:idx val="0"/>
          <c:order val="0"/>
          <c:tx>
            <c:strRef>
              <c:f>Hoja1!$C$5</c:f>
              <c:strCache>
                <c:ptCount val="1"/>
                <c:pt idx="0">
                  <c:v>K1(TE)</c:v>
                </c:pt>
              </c:strCache>
            </c:strRef>
          </c:tx>
          <c:spPr>
            <a:ln w="15875">
              <a:prstDash val="sysDash"/>
            </a:ln>
          </c:spPr>
          <c:marker>
            <c:symbol val="none"/>
          </c:marker>
          <c:cat>
            <c:numRef>
              <c:f>Hoja1!$B$6:$B$20</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Hoja1!$C$6:$C$20</c:f>
              <c:numCache>
                <c:formatCode>General</c:formatCode>
                <c:ptCount val="15"/>
                <c:pt idx="0">
                  <c:v>17.579999999999998</c:v>
                </c:pt>
                <c:pt idx="1">
                  <c:v>20.73</c:v>
                </c:pt>
                <c:pt idx="2">
                  <c:v>13.63</c:v>
                </c:pt>
                <c:pt idx="3">
                  <c:v>30.57</c:v>
                </c:pt>
                <c:pt idx="4">
                  <c:v>23.2</c:v>
                </c:pt>
                <c:pt idx="5">
                  <c:v>12.54</c:v>
                </c:pt>
                <c:pt idx="6">
                  <c:v>16.059999999999999</c:v>
                </c:pt>
                <c:pt idx="7">
                  <c:v>15.23</c:v>
                </c:pt>
                <c:pt idx="8">
                  <c:v>12.55</c:v>
                </c:pt>
                <c:pt idx="9">
                  <c:v>14.01</c:v>
                </c:pt>
                <c:pt idx="10">
                  <c:v>14.08</c:v>
                </c:pt>
                <c:pt idx="11">
                  <c:v>14.64</c:v>
                </c:pt>
                <c:pt idx="12">
                  <c:v>15.34</c:v>
                </c:pt>
                <c:pt idx="13">
                  <c:v>14.84</c:v>
                </c:pt>
                <c:pt idx="14">
                  <c:v>11.11</c:v>
                </c:pt>
              </c:numCache>
            </c:numRef>
          </c:val>
          <c:smooth val="0"/>
          <c:extLst xmlns:c16r2="http://schemas.microsoft.com/office/drawing/2015/06/chart">
            <c:ext xmlns:c16="http://schemas.microsoft.com/office/drawing/2014/chart" uri="{C3380CC4-5D6E-409C-BE32-E72D297353CC}">
              <c16:uniqueId val="{00000000-A6FD-4B2E-8EB3-CC4499017B0C}"/>
            </c:ext>
          </c:extLst>
        </c:ser>
        <c:ser>
          <c:idx val="1"/>
          <c:order val="1"/>
          <c:tx>
            <c:strRef>
              <c:f>Hoja1!$D$5</c:f>
              <c:strCache>
                <c:ptCount val="1"/>
                <c:pt idx="0">
                  <c:v>K2 (TE)</c:v>
                </c:pt>
              </c:strCache>
            </c:strRef>
          </c:tx>
          <c:spPr>
            <a:ln w="15875">
              <a:prstDash val="sysDash"/>
            </a:ln>
          </c:spPr>
          <c:marker>
            <c:symbol val="none"/>
          </c:marker>
          <c:cat>
            <c:numRef>
              <c:f>Hoja1!$B$6:$B$20</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Hoja1!$D$6:$D$20</c:f>
              <c:numCache>
                <c:formatCode>General</c:formatCode>
                <c:ptCount val="15"/>
                <c:pt idx="0">
                  <c:v>21.77</c:v>
                </c:pt>
                <c:pt idx="1">
                  <c:v>25.73</c:v>
                </c:pt>
                <c:pt idx="2">
                  <c:v>21.18</c:v>
                </c:pt>
                <c:pt idx="3">
                  <c:v>28.63</c:v>
                </c:pt>
                <c:pt idx="4">
                  <c:v>23.6</c:v>
                </c:pt>
                <c:pt idx="5">
                  <c:v>20.95</c:v>
                </c:pt>
                <c:pt idx="6">
                  <c:v>27.61</c:v>
                </c:pt>
                <c:pt idx="7">
                  <c:v>20.04</c:v>
                </c:pt>
                <c:pt idx="8">
                  <c:v>21.43</c:v>
                </c:pt>
                <c:pt idx="9">
                  <c:v>18.010000000000002</c:v>
                </c:pt>
                <c:pt idx="10">
                  <c:v>19.03</c:v>
                </c:pt>
                <c:pt idx="11">
                  <c:v>15.88</c:v>
                </c:pt>
                <c:pt idx="12">
                  <c:v>11.09</c:v>
                </c:pt>
                <c:pt idx="13">
                  <c:v>17.54</c:v>
                </c:pt>
                <c:pt idx="14">
                  <c:v>10.07</c:v>
                </c:pt>
              </c:numCache>
            </c:numRef>
          </c:val>
          <c:smooth val="0"/>
          <c:extLst xmlns:c16r2="http://schemas.microsoft.com/office/drawing/2015/06/chart">
            <c:ext xmlns:c16="http://schemas.microsoft.com/office/drawing/2014/chart" uri="{C3380CC4-5D6E-409C-BE32-E72D297353CC}">
              <c16:uniqueId val="{00000001-A6FD-4B2E-8EB3-CC4499017B0C}"/>
            </c:ext>
          </c:extLst>
        </c:ser>
        <c:ser>
          <c:idx val="2"/>
          <c:order val="2"/>
          <c:tx>
            <c:strRef>
              <c:f>Hoja1!$E$5</c:f>
              <c:strCache>
                <c:ptCount val="1"/>
                <c:pt idx="0">
                  <c:v>K3 (TE)</c:v>
                </c:pt>
              </c:strCache>
            </c:strRef>
          </c:tx>
          <c:spPr>
            <a:ln w="15875">
              <a:prstDash val="sysDash"/>
            </a:ln>
          </c:spPr>
          <c:marker>
            <c:symbol val="none"/>
          </c:marker>
          <c:cat>
            <c:numRef>
              <c:f>Hoja1!$B$6:$B$20</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Hoja1!$E$6:$E$20</c:f>
              <c:numCache>
                <c:formatCode>General</c:formatCode>
                <c:ptCount val="15"/>
                <c:pt idx="0">
                  <c:v>27.37</c:v>
                </c:pt>
                <c:pt idx="1">
                  <c:v>19.239999999999998</c:v>
                </c:pt>
                <c:pt idx="2">
                  <c:v>22.31</c:v>
                </c:pt>
                <c:pt idx="3">
                  <c:v>30.26</c:v>
                </c:pt>
                <c:pt idx="4">
                  <c:v>24.21</c:v>
                </c:pt>
                <c:pt idx="5">
                  <c:v>23.56</c:v>
                </c:pt>
                <c:pt idx="6">
                  <c:v>29.45</c:v>
                </c:pt>
                <c:pt idx="7">
                  <c:v>19.7</c:v>
                </c:pt>
                <c:pt idx="8">
                  <c:v>20.149999999999999</c:v>
                </c:pt>
                <c:pt idx="9">
                  <c:v>16.829999999999998</c:v>
                </c:pt>
                <c:pt idx="10">
                  <c:v>13.15</c:v>
                </c:pt>
                <c:pt idx="11">
                  <c:v>22.21</c:v>
                </c:pt>
                <c:pt idx="12">
                  <c:v>15.28</c:v>
                </c:pt>
                <c:pt idx="13">
                  <c:v>19.09</c:v>
                </c:pt>
                <c:pt idx="14">
                  <c:v>11.2</c:v>
                </c:pt>
              </c:numCache>
            </c:numRef>
          </c:val>
          <c:smooth val="0"/>
          <c:extLst xmlns:c16r2="http://schemas.microsoft.com/office/drawing/2015/06/chart">
            <c:ext xmlns:c16="http://schemas.microsoft.com/office/drawing/2014/chart" uri="{C3380CC4-5D6E-409C-BE32-E72D297353CC}">
              <c16:uniqueId val="{00000002-A6FD-4B2E-8EB3-CC4499017B0C}"/>
            </c:ext>
          </c:extLst>
        </c:ser>
        <c:ser>
          <c:idx val="3"/>
          <c:order val="3"/>
          <c:tx>
            <c:strRef>
              <c:f>Hoja1!$F$5</c:f>
              <c:strCache>
                <c:ptCount val="1"/>
                <c:pt idx="0">
                  <c:v>K4 (TE)</c:v>
                </c:pt>
              </c:strCache>
            </c:strRef>
          </c:tx>
          <c:spPr>
            <a:ln w="15875">
              <a:prstDash val="sysDash"/>
            </a:ln>
          </c:spPr>
          <c:marker>
            <c:symbol val="none"/>
          </c:marker>
          <c:cat>
            <c:numRef>
              <c:f>Hoja1!$B$6:$B$20</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Hoja1!$F$6:$F$20</c:f>
              <c:numCache>
                <c:formatCode>General</c:formatCode>
                <c:ptCount val="15"/>
                <c:pt idx="0">
                  <c:v>36.270000000000003</c:v>
                </c:pt>
                <c:pt idx="1">
                  <c:v>28.72</c:v>
                </c:pt>
                <c:pt idx="2">
                  <c:v>34.159999999999997</c:v>
                </c:pt>
                <c:pt idx="3">
                  <c:v>28.9</c:v>
                </c:pt>
                <c:pt idx="4">
                  <c:v>24.48</c:v>
                </c:pt>
                <c:pt idx="5">
                  <c:v>24.61</c:v>
                </c:pt>
                <c:pt idx="6">
                  <c:v>24.27</c:v>
                </c:pt>
                <c:pt idx="7">
                  <c:v>24.05</c:v>
                </c:pt>
                <c:pt idx="8">
                  <c:v>23.61</c:v>
                </c:pt>
                <c:pt idx="9">
                  <c:v>19.899999999999999</c:v>
                </c:pt>
                <c:pt idx="10">
                  <c:v>18.899999999999999</c:v>
                </c:pt>
                <c:pt idx="11">
                  <c:v>18.579999999999998</c:v>
                </c:pt>
                <c:pt idx="12">
                  <c:v>15.55</c:v>
                </c:pt>
                <c:pt idx="13">
                  <c:v>13.8</c:v>
                </c:pt>
                <c:pt idx="14">
                  <c:v>13.67</c:v>
                </c:pt>
              </c:numCache>
            </c:numRef>
          </c:val>
          <c:smooth val="0"/>
          <c:extLst xmlns:c16r2="http://schemas.microsoft.com/office/drawing/2015/06/chart">
            <c:ext xmlns:c16="http://schemas.microsoft.com/office/drawing/2014/chart" uri="{C3380CC4-5D6E-409C-BE32-E72D297353CC}">
              <c16:uniqueId val="{00000003-A6FD-4B2E-8EB3-CC4499017B0C}"/>
            </c:ext>
          </c:extLst>
        </c:ser>
        <c:ser>
          <c:idx val="4"/>
          <c:order val="4"/>
          <c:tx>
            <c:strRef>
              <c:f>Hoja1!$G$5</c:f>
              <c:strCache>
                <c:ptCount val="1"/>
                <c:pt idx="0">
                  <c:v>K5 (TE)</c:v>
                </c:pt>
              </c:strCache>
            </c:strRef>
          </c:tx>
          <c:spPr>
            <a:ln w="15875">
              <a:prstDash val="sysDash"/>
            </a:ln>
          </c:spPr>
          <c:marker>
            <c:symbol val="none"/>
          </c:marker>
          <c:cat>
            <c:numRef>
              <c:f>Hoja1!$B$6:$B$20</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Hoja1!$G$6:$G$20</c:f>
              <c:numCache>
                <c:formatCode>General</c:formatCode>
                <c:ptCount val="15"/>
                <c:pt idx="0">
                  <c:v>43.59</c:v>
                </c:pt>
                <c:pt idx="1">
                  <c:v>33.58</c:v>
                </c:pt>
                <c:pt idx="2">
                  <c:v>34.840000000000003</c:v>
                </c:pt>
                <c:pt idx="3">
                  <c:v>33.880000000000003</c:v>
                </c:pt>
                <c:pt idx="4">
                  <c:v>34.86</c:v>
                </c:pt>
                <c:pt idx="5">
                  <c:v>23.55</c:v>
                </c:pt>
                <c:pt idx="6">
                  <c:v>31.65</c:v>
                </c:pt>
                <c:pt idx="7">
                  <c:v>38.229999999999997</c:v>
                </c:pt>
                <c:pt idx="8">
                  <c:v>44.99</c:v>
                </c:pt>
                <c:pt idx="9">
                  <c:v>28.15</c:v>
                </c:pt>
                <c:pt idx="10">
                  <c:v>20.059999999999999</c:v>
                </c:pt>
                <c:pt idx="11">
                  <c:v>25.85</c:v>
                </c:pt>
                <c:pt idx="12">
                  <c:v>15.41</c:v>
                </c:pt>
                <c:pt idx="13">
                  <c:v>24.39</c:v>
                </c:pt>
                <c:pt idx="14">
                  <c:v>16.059999999999999</c:v>
                </c:pt>
              </c:numCache>
            </c:numRef>
          </c:val>
          <c:smooth val="0"/>
          <c:extLst xmlns:c16r2="http://schemas.microsoft.com/office/drawing/2015/06/chart">
            <c:ext xmlns:c16="http://schemas.microsoft.com/office/drawing/2014/chart" uri="{C3380CC4-5D6E-409C-BE32-E72D297353CC}">
              <c16:uniqueId val="{00000004-A6FD-4B2E-8EB3-CC4499017B0C}"/>
            </c:ext>
          </c:extLst>
        </c:ser>
        <c:ser>
          <c:idx val="5"/>
          <c:order val="5"/>
          <c:tx>
            <c:strRef>
              <c:f>Hoja1!$H$5</c:f>
              <c:strCache>
                <c:ptCount val="1"/>
                <c:pt idx="0">
                  <c:v>K1(JP)</c:v>
                </c:pt>
              </c:strCache>
            </c:strRef>
          </c:tx>
          <c:spPr>
            <a:ln w="22225">
              <a:solidFill>
                <a:schemeClr val="tx2">
                  <a:lumMod val="60000"/>
                  <a:lumOff val="40000"/>
                </a:schemeClr>
              </a:solidFill>
            </a:ln>
          </c:spPr>
          <c:marker>
            <c:symbol val="none"/>
          </c:marker>
          <c:cat>
            <c:numRef>
              <c:f>Hoja1!$B$6:$B$20</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Hoja1!$H$6:$H$20</c:f>
              <c:numCache>
                <c:formatCode>General</c:formatCode>
                <c:ptCount val="15"/>
                <c:pt idx="0">
                  <c:v>22.02</c:v>
                </c:pt>
                <c:pt idx="1">
                  <c:v>21.15</c:v>
                </c:pt>
                <c:pt idx="2">
                  <c:v>20.32</c:v>
                </c:pt>
                <c:pt idx="3">
                  <c:v>19.52</c:v>
                </c:pt>
                <c:pt idx="4">
                  <c:v>18.75</c:v>
                </c:pt>
                <c:pt idx="5">
                  <c:v>18.010000000000002</c:v>
                </c:pt>
                <c:pt idx="6">
                  <c:v>17.3</c:v>
                </c:pt>
                <c:pt idx="7">
                  <c:v>16.62</c:v>
                </c:pt>
                <c:pt idx="8">
                  <c:v>15.97</c:v>
                </c:pt>
                <c:pt idx="9">
                  <c:v>15.34</c:v>
                </c:pt>
                <c:pt idx="10">
                  <c:v>14.74</c:v>
                </c:pt>
                <c:pt idx="11">
                  <c:v>14.16</c:v>
                </c:pt>
                <c:pt idx="12">
                  <c:v>13.6</c:v>
                </c:pt>
                <c:pt idx="13">
                  <c:v>13.06</c:v>
                </c:pt>
                <c:pt idx="14">
                  <c:v>12.55</c:v>
                </c:pt>
              </c:numCache>
            </c:numRef>
          </c:val>
          <c:smooth val="0"/>
          <c:extLst xmlns:c16r2="http://schemas.microsoft.com/office/drawing/2015/06/chart">
            <c:ext xmlns:c16="http://schemas.microsoft.com/office/drawing/2014/chart" uri="{C3380CC4-5D6E-409C-BE32-E72D297353CC}">
              <c16:uniqueId val="{00000005-A6FD-4B2E-8EB3-CC4499017B0C}"/>
            </c:ext>
          </c:extLst>
        </c:ser>
        <c:ser>
          <c:idx val="6"/>
          <c:order val="6"/>
          <c:tx>
            <c:strRef>
              <c:f>Hoja1!$I$5</c:f>
              <c:strCache>
                <c:ptCount val="1"/>
                <c:pt idx="0">
                  <c:v>K2 (JP)</c:v>
                </c:pt>
              </c:strCache>
            </c:strRef>
          </c:tx>
          <c:spPr>
            <a:ln w="22225">
              <a:solidFill>
                <a:srgbClr val="C00000"/>
              </a:solidFill>
            </a:ln>
          </c:spPr>
          <c:marker>
            <c:symbol val="none"/>
          </c:marker>
          <c:cat>
            <c:numRef>
              <c:f>Hoja1!$B$6:$B$20</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Hoja1!$I$6:$I$20</c:f>
              <c:numCache>
                <c:formatCode>General</c:formatCode>
                <c:ptCount val="15"/>
                <c:pt idx="0">
                  <c:v>27.66</c:v>
                </c:pt>
                <c:pt idx="1">
                  <c:v>26.42</c:v>
                </c:pt>
                <c:pt idx="2">
                  <c:v>25.23</c:v>
                </c:pt>
                <c:pt idx="3">
                  <c:v>24.09</c:v>
                </c:pt>
                <c:pt idx="4">
                  <c:v>23.01</c:v>
                </c:pt>
                <c:pt idx="5">
                  <c:v>21.97</c:v>
                </c:pt>
                <c:pt idx="6">
                  <c:v>20.98</c:v>
                </c:pt>
                <c:pt idx="7">
                  <c:v>20.04</c:v>
                </c:pt>
                <c:pt idx="8">
                  <c:v>19.13</c:v>
                </c:pt>
                <c:pt idx="9">
                  <c:v>18.27</c:v>
                </c:pt>
                <c:pt idx="10">
                  <c:v>17.45</c:v>
                </c:pt>
                <c:pt idx="11">
                  <c:v>16.670000000000002</c:v>
                </c:pt>
                <c:pt idx="12">
                  <c:v>15.91</c:v>
                </c:pt>
                <c:pt idx="13">
                  <c:v>15.2</c:v>
                </c:pt>
                <c:pt idx="14">
                  <c:v>14.51</c:v>
                </c:pt>
              </c:numCache>
            </c:numRef>
          </c:val>
          <c:smooth val="0"/>
          <c:extLst xmlns:c16r2="http://schemas.microsoft.com/office/drawing/2015/06/chart">
            <c:ext xmlns:c16="http://schemas.microsoft.com/office/drawing/2014/chart" uri="{C3380CC4-5D6E-409C-BE32-E72D297353CC}">
              <c16:uniqueId val="{00000006-A6FD-4B2E-8EB3-CC4499017B0C}"/>
            </c:ext>
          </c:extLst>
        </c:ser>
        <c:ser>
          <c:idx val="7"/>
          <c:order val="7"/>
          <c:tx>
            <c:strRef>
              <c:f>Hoja1!$J$5</c:f>
              <c:strCache>
                <c:ptCount val="1"/>
                <c:pt idx="0">
                  <c:v>K3 (JP)</c:v>
                </c:pt>
              </c:strCache>
            </c:strRef>
          </c:tx>
          <c:spPr>
            <a:ln w="22225">
              <a:solidFill>
                <a:srgbClr val="92D050"/>
              </a:solidFill>
            </a:ln>
          </c:spPr>
          <c:marker>
            <c:symbol val="none"/>
          </c:marker>
          <c:cat>
            <c:numRef>
              <c:f>Hoja1!$B$6:$B$20</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Hoja1!$J$6:$J$20</c:f>
              <c:numCache>
                <c:formatCode>General</c:formatCode>
                <c:ptCount val="15"/>
                <c:pt idx="0">
                  <c:v>27.93</c:v>
                </c:pt>
                <c:pt idx="1">
                  <c:v>26.81</c:v>
                </c:pt>
                <c:pt idx="2">
                  <c:v>25.73</c:v>
                </c:pt>
                <c:pt idx="3">
                  <c:v>24.69</c:v>
                </c:pt>
                <c:pt idx="4">
                  <c:v>23.69</c:v>
                </c:pt>
                <c:pt idx="5">
                  <c:v>22.74</c:v>
                </c:pt>
                <c:pt idx="6">
                  <c:v>21.82</c:v>
                </c:pt>
                <c:pt idx="7">
                  <c:v>20.94</c:v>
                </c:pt>
                <c:pt idx="8">
                  <c:v>20.100000000000001</c:v>
                </c:pt>
                <c:pt idx="9">
                  <c:v>19.29</c:v>
                </c:pt>
                <c:pt idx="10">
                  <c:v>18.510000000000002</c:v>
                </c:pt>
                <c:pt idx="11">
                  <c:v>17.77</c:v>
                </c:pt>
                <c:pt idx="12">
                  <c:v>17.05</c:v>
                </c:pt>
                <c:pt idx="13">
                  <c:v>16.36</c:v>
                </c:pt>
                <c:pt idx="14">
                  <c:v>15.7</c:v>
                </c:pt>
              </c:numCache>
            </c:numRef>
          </c:val>
          <c:smooth val="0"/>
          <c:extLst xmlns:c16r2="http://schemas.microsoft.com/office/drawing/2015/06/chart">
            <c:ext xmlns:c16="http://schemas.microsoft.com/office/drawing/2014/chart" uri="{C3380CC4-5D6E-409C-BE32-E72D297353CC}">
              <c16:uniqueId val="{00000007-A6FD-4B2E-8EB3-CC4499017B0C}"/>
            </c:ext>
          </c:extLst>
        </c:ser>
        <c:ser>
          <c:idx val="8"/>
          <c:order val="8"/>
          <c:tx>
            <c:strRef>
              <c:f>Hoja1!$K$5</c:f>
              <c:strCache>
                <c:ptCount val="1"/>
                <c:pt idx="0">
                  <c:v>K4 (JP)</c:v>
                </c:pt>
              </c:strCache>
            </c:strRef>
          </c:tx>
          <c:spPr>
            <a:ln w="22225">
              <a:solidFill>
                <a:srgbClr val="6E548D"/>
              </a:solidFill>
            </a:ln>
          </c:spPr>
          <c:marker>
            <c:symbol val="none"/>
          </c:marker>
          <c:cat>
            <c:numRef>
              <c:f>Hoja1!$B$6:$B$20</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Hoja1!$K$6:$K$20</c:f>
              <c:numCache>
                <c:formatCode>General</c:formatCode>
                <c:ptCount val="15"/>
                <c:pt idx="0">
                  <c:v>35.22</c:v>
                </c:pt>
                <c:pt idx="1">
                  <c:v>33.04</c:v>
                </c:pt>
                <c:pt idx="2">
                  <c:v>31</c:v>
                </c:pt>
                <c:pt idx="3">
                  <c:v>29.08</c:v>
                </c:pt>
                <c:pt idx="4">
                  <c:v>27.28</c:v>
                </c:pt>
                <c:pt idx="5">
                  <c:v>25.59</c:v>
                </c:pt>
                <c:pt idx="6">
                  <c:v>24.01</c:v>
                </c:pt>
                <c:pt idx="7">
                  <c:v>22.53</c:v>
                </c:pt>
                <c:pt idx="8">
                  <c:v>21.13</c:v>
                </c:pt>
                <c:pt idx="9">
                  <c:v>19.829999999999998</c:v>
                </c:pt>
                <c:pt idx="10">
                  <c:v>18.600000000000001</c:v>
                </c:pt>
                <c:pt idx="11">
                  <c:v>17.45</c:v>
                </c:pt>
                <c:pt idx="12">
                  <c:v>16.37</c:v>
                </c:pt>
                <c:pt idx="13">
                  <c:v>15.36</c:v>
                </c:pt>
                <c:pt idx="14">
                  <c:v>14.41</c:v>
                </c:pt>
              </c:numCache>
            </c:numRef>
          </c:val>
          <c:smooth val="0"/>
          <c:extLst xmlns:c16r2="http://schemas.microsoft.com/office/drawing/2015/06/chart">
            <c:ext xmlns:c16="http://schemas.microsoft.com/office/drawing/2014/chart" uri="{C3380CC4-5D6E-409C-BE32-E72D297353CC}">
              <c16:uniqueId val="{00000008-A6FD-4B2E-8EB3-CC4499017B0C}"/>
            </c:ext>
          </c:extLst>
        </c:ser>
        <c:ser>
          <c:idx val="9"/>
          <c:order val="9"/>
          <c:tx>
            <c:strRef>
              <c:f>Hoja1!$L$5</c:f>
              <c:strCache>
                <c:ptCount val="1"/>
                <c:pt idx="0">
                  <c:v>K5 (JP)</c:v>
                </c:pt>
              </c:strCache>
            </c:strRef>
          </c:tx>
          <c:spPr>
            <a:ln w="22225">
              <a:solidFill>
                <a:srgbClr val="00B0F0"/>
              </a:solidFill>
            </a:ln>
          </c:spPr>
          <c:marker>
            <c:symbol val="none"/>
          </c:marker>
          <c:cat>
            <c:numRef>
              <c:f>Hoja1!$B$6:$B$20</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Hoja1!$L$6:$L$20</c:f>
              <c:numCache>
                <c:formatCode>General</c:formatCode>
                <c:ptCount val="15"/>
                <c:pt idx="0">
                  <c:v>40.36</c:v>
                </c:pt>
                <c:pt idx="1">
                  <c:v>38.630000000000003</c:v>
                </c:pt>
                <c:pt idx="2">
                  <c:v>36.97</c:v>
                </c:pt>
                <c:pt idx="3">
                  <c:v>35.380000000000003</c:v>
                </c:pt>
                <c:pt idx="4">
                  <c:v>33.86</c:v>
                </c:pt>
                <c:pt idx="5">
                  <c:v>32.409999999999997</c:v>
                </c:pt>
                <c:pt idx="6">
                  <c:v>31.02</c:v>
                </c:pt>
                <c:pt idx="7">
                  <c:v>29.68</c:v>
                </c:pt>
                <c:pt idx="8">
                  <c:v>28.41</c:v>
                </c:pt>
                <c:pt idx="9">
                  <c:v>27.19</c:v>
                </c:pt>
                <c:pt idx="10">
                  <c:v>26.02</c:v>
                </c:pt>
                <c:pt idx="11">
                  <c:v>24.9</c:v>
                </c:pt>
                <c:pt idx="12">
                  <c:v>23.84</c:v>
                </c:pt>
                <c:pt idx="13">
                  <c:v>22.81</c:v>
                </c:pt>
                <c:pt idx="14">
                  <c:v>21.83</c:v>
                </c:pt>
              </c:numCache>
            </c:numRef>
          </c:val>
          <c:smooth val="0"/>
          <c:extLst xmlns:c16r2="http://schemas.microsoft.com/office/drawing/2015/06/chart">
            <c:ext xmlns:c16="http://schemas.microsoft.com/office/drawing/2014/chart" uri="{C3380CC4-5D6E-409C-BE32-E72D297353CC}">
              <c16:uniqueId val="{00000009-A6FD-4B2E-8EB3-CC4499017B0C}"/>
            </c:ext>
          </c:extLst>
        </c:ser>
        <c:dLbls>
          <c:showLegendKey val="0"/>
          <c:showVal val="0"/>
          <c:showCatName val="0"/>
          <c:showSerName val="0"/>
          <c:showPercent val="0"/>
          <c:showBubbleSize val="0"/>
        </c:dLbls>
        <c:marker val="1"/>
        <c:smooth val="0"/>
        <c:axId val="255933440"/>
        <c:axId val="255939712"/>
      </c:lineChart>
      <c:catAx>
        <c:axId val="255933440"/>
        <c:scaling>
          <c:orientation val="minMax"/>
        </c:scaling>
        <c:delete val="0"/>
        <c:axPos val="b"/>
        <c:title>
          <c:tx>
            <c:rich>
              <a:bodyPr/>
              <a:lstStyle/>
              <a:p>
                <a:pPr>
                  <a:defRPr b="0"/>
                </a:pPr>
                <a:r>
                  <a:rPr lang="en-US" b="0"/>
                  <a:t>Urtea</a:t>
                </a:r>
              </a:p>
            </c:rich>
          </c:tx>
          <c:layout/>
          <c:overlay val="0"/>
        </c:title>
        <c:numFmt formatCode="General" sourceLinked="1"/>
        <c:majorTickMark val="out"/>
        <c:minorTickMark val="none"/>
        <c:tickLblPos val="nextTo"/>
        <c:txPr>
          <a:bodyPr/>
          <a:lstStyle/>
          <a:p>
            <a:pPr>
              <a:defRPr sz="800"/>
            </a:pPr>
            <a:endParaRPr lang="en-US"/>
          </a:p>
        </c:txPr>
        <c:crossAx val="255939712"/>
        <c:crosses val="autoZero"/>
        <c:auto val="1"/>
        <c:lblAlgn val="ctr"/>
        <c:lblOffset val="100"/>
        <c:noMultiLvlLbl val="0"/>
      </c:catAx>
      <c:valAx>
        <c:axId val="255939712"/>
        <c:scaling>
          <c:orientation val="minMax"/>
        </c:scaling>
        <c:delete val="0"/>
        <c:axPos val="l"/>
        <c:majorGridlines>
          <c:spPr>
            <a:ln w="3175">
              <a:solidFill>
                <a:schemeClr val="bg1">
                  <a:lumMod val="85000"/>
                </a:schemeClr>
              </a:solidFill>
            </a:ln>
          </c:spPr>
        </c:majorGridlines>
        <c:title>
          <c:tx>
            <c:rich>
              <a:bodyPr rot="-5400000" vert="horz"/>
              <a:lstStyle/>
              <a:p>
                <a:pPr>
                  <a:defRPr sz="800" b="0"/>
                </a:pPr>
                <a:r>
                  <a:rPr lang="es-ES" sz="800" b="0"/>
                  <a:t>Tasa 100.000 biztanleko.</a:t>
                </a:r>
              </a:p>
            </c:rich>
          </c:tx>
          <c:layout/>
          <c:overlay val="0"/>
        </c:title>
        <c:numFmt formatCode="General" sourceLinked="1"/>
        <c:majorTickMark val="out"/>
        <c:minorTickMark val="none"/>
        <c:tickLblPos val="nextTo"/>
        <c:txPr>
          <a:bodyPr/>
          <a:lstStyle/>
          <a:p>
            <a:pPr>
              <a:defRPr sz="800"/>
            </a:pPr>
            <a:endParaRPr lang="en-US"/>
          </a:p>
        </c:txPr>
        <c:crossAx val="255933440"/>
        <c:crosses val="autoZero"/>
        <c:crossBetween val="between"/>
      </c:valAx>
    </c:plotArea>
    <c:legend>
      <c:legendPos val="b"/>
      <c:layout/>
      <c:overlay val="0"/>
      <c:txPr>
        <a:bodyPr/>
        <a:lstStyle/>
        <a:p>
          <a:pPr>
            <a:defRPr sz="800"/>
          </a:pPr>
          <a:endParaRPr lang="en-US"/>
        </a:p>
      </c:txPr>
    </c:legend>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0.71189</cdr:x>
      <cdr:y>0.21316</cdr:y>
    </cdr:from>
    <cdr:to>
      <cdr:x>0.84615</cdr:x>
      <cdr:y>0.46579</cdr:y>
    </cdr:to>
    <cdr:sp macro="" textlink="">
      <cdr:nvSpPr>
        <cdr:cNvPr id="2" name="1 CuadroTexto"/>
        <cdr:cNvSpPr txBox="1"/>
      </cdr:nvSpPr>
      <cdr:spPr>
        <a:xfrm xmlns:a="http://schemas.openxmlformats.org/drawingml/2006/main">
          <a:off x="4848225" y="7715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u-ES"/>
        </a:p>
      </cdr:txBody>
    </cdr:sp>
  </cdr:relSizeAnchor>
  <cdr:relSizeAnchor xmlns:cdr="http://schemas.openxmlformats.org/drawingml/2006/chartDrawing">
    <cdr:from>
      <cdr:x>0.6979</cdr:x>
      <cdr:y>0.21579</cdr:y>
    </cdr:from>
    <cdr:to>
      <cdr:x>0.83217</cdr:x>
      <cdr:y>0.46842</cdr:y>
    </cdr:to>
    <cdr:sp macro="" textlink="">
      <cdr:nvSpPr>
        <cdr:cNvPr id="3" name="2 CuadroTexto"/>
        <cdr:cNvSpPr txBox="1"/>
      </cdr:nvSpPr>
      <cdr:spPr>
        <a:xfrm xmlns:a="http://schemas.openxmlformats.org/drawingml/2006/main">
          <a:off x="4752975" y="7810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u-ES"/>
        </a:p>
      </cdr:txBody>
    </cdr:sp>
  </cdr:relSizeAnchor>
  <cdr:relSizeAnchor xmlns:cdr="http://schemas.openxmlformats.org/drawingml/2006/chartDrawing">
    <cdr:from>
      <cdr:x>0.75524</cdr:x>
      <cdr:y>0.27632</cdr:y>
    </cdr:from>
    <cdr:to>
      <cdr:x>0.88951</cdr:x>
      <cdr:y>0.52895</cdr:y>
    </cdr:to>
    <cdr:sp macro="" textlink="">
      <cdr:nvSpPr>
        <cdr:cNvPr id="4" name="3 CuadroTexto"/>
        <cdr:cNvSpPr txBox="1"/>
      </cdr:nvSpPr>
      <cdr:spPr>
        <a:xfrm xmlns:a="http://schemas.openxmlformats.org/drawingml/2006/main">
          <a:off x="5143500" y="10001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u-ES"/>
        </a:p>
      </cdr:txBody>
    </cdr:sp>
  </cdr:relSizeAnchor>
  <cdr:relSizeAnchor xmlns:cdr="http://schemas.openxmlformats.org/drawingml/2006/chartDrawing">
    <cdr:from>
      <cdr:x>0.72448</cdr:x>
      <cdr:y>0.28947</cdr:y>
    </cdr:from>
    <cdr:to>
      <cdr:x>0.85874</cdr:x>
      <cdr:y>0.37105</cdr:y>
    </cdr:to>
    <cdr:sp macro="" textlink="">
      <cdr:nvSpPr>
        <cdr:cNvPr id="5" name="4 CuadroTexto"/>
        <cdr:cNvSpPr txBox="1"/>
      </cdr:nvSpPr>
      <cdr:spPr>
        <a:xfrm xmlns:a="http://schemas.openxmlformats.org/drawingml/2006/main">
          <a:off x="4933950" y="1047750"/>
          <a:ext cx="914400"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u-ES"/>
        </a:p>
      </cdr:txBody>
    </cdr:sp>
  </cdr:relSizeAnchor>
  <cdr:relSizeAnchor xmlns:cdr="http://schemas.openxmlformats.org/drawingml/2006/chartDrawing">
    <cdr:from>
      <cdr:x>0.73427</cdr:x>
      <cdr:y>0.36579</cdr:y>
    </cdr:from>
    <cdr:to>
      <cdr:x>0.86853</cdr:x>
      <cdr:y>0.43684</cdr:y>
    </cdr:to>
    <cdr:sp macro="" textlink="">
      <cdr:nvSpPr>
        <cdr:cNvPr id="6" name="5 CuadroTexto"/>
        <cdr:cNvSpPr txBox="1"/>
      </cdr:nvSpPr>
      <cdr:spPr>
        <a:xfrm xmlns:a="http://schemas.openxmlformats.org/drawingml/2006/main">
          <a:off x="5000625" y="1323975"/>
          <a:ext cx="914400" cy="25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u-ES"/>
        </a:p>
      </cdr:txBody>
    </cdr:sp>
  </cdr:relSizeAnchor>
  <cdr:relSizeAnchor xmlns:cdr="http://schemas.openxmlformats.org/drawingml/2006/chartDrawing">
    <cdr:from>
      <cdr:x>0.16224</cdr:x>
      <cdr:y>0.74737</cdr:y>
    </cdr:from>
    <cdr:to>
      <cdr:x>0.2965</cdr:x>
      <cdr:y>1</cdr:y>
    </cdr:to>
    <cdr:sp macro="" textlink="">
      <cdr:nvSpPr>
        <cdr:cNvPr id="7" name="6 CuadroTexto"/>
        <cdr:cNvSpPr txBox="1"/>
      </cdr:nvSpPr>
      <cdr:spPr>
        <a:xfrm xmlns:a="http://schemas.openxmlformats.org/drawingml/2006/main">
          <a:off x="1104900" y="2800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u-ES"/>
        </a:p>
      </cdr:txBody>
    </cdr:sp>
  </cdr:relSizeAnchor>
  <cdr:relSizeAnchor xmlns:cdr="http://schemas.openxmlformats.org/drawingml/2006/chartDrawing">
    <cdr:from>
      <cdr:x>0.16084</cdr:x>
      <cdr:y>0.74737</cdr:y>
    </cdr:from>
    <cdr:to>
      <cdr:x>0.2951</cdr:x>
      <cdr:y>0.8</cdr:y>
    </cdr:to>
    <cdr:sp macro="" textlink="">
      <cdr:nvSpPr>
        <cdr:cNvPr id="8" name="7 CuadroTexto"/>
        <cdr:cNvSpPr txBox="1"/>
      </cdr:nvSpPr>
      <cdr:spPr>
        <a:xfrm xmlns:a="http://schemas.openxmlformats.org/drawingml/2006/main">
          <a:off x="1095375" y="2705100"/>
          <a:ext cx="914400" cy="190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u-ES"/>
        </a:p>
      </cdr:txBody>
    </cdr:sp>
  </cdr:relSizeAnchor>
  <cdr:relSizeAnchor xmlns:cdr="http://schemas.openxmlformats.org/drawingml/2006/chartDrawing">
    <cdr:from>
      <cdr:x>0.17762</cdr:x>
      <cdr:y>0.74737</cdr:y>
    </cdr:from>
    <cdr:to>
      <cdr:x>0.31189</cdr:x>
      <cdr:y>1</cdr:y>
    </cdr:to>
    <cdr:sp macro="" textlink="">
      <cdr:nvSpPr>
        <cdr:cNvPr id="9" name="8 CuadroTexto"/>
        <cdr:cNvSpPr txBox="1"/>
      </cdr:nvSpPr>
      <cdr:spPr>
        <a:xfrm xmlns:a="http://schemas.openxmlformats.org/drawingml/2006/main">
          <a:off x="1209675" y="28384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u-ES"/>
        </a:p>
      </cdr:txBody>
    </cdr:sp>
  </cdr:relSizeAnchor>
  <cdr:relSizeAnchor xmlns:cdr="http://schemas.openxmlformats.org/drawingml/2006/chartDrawing">
    <cdr:from>
      <cdr:x>0.13007</cdr:x>
      <cdr:y>0.73421</cdr:y>
    </cdr:from>
    <cdr:to>
      <cdr:x>0.26434</cdr:x>
      <cdr:y>0.78421</cdr:y>
    </cdr:to>
    <cdr:sp macro="" textlink="">
      <cdr:nvSpPr>
        <cdr:cNvPr id="10" name="9 CuadroTexto"/>
        <cdr:cNvSpPr txBox="1"/>
      </cdr:nvSpPr>
      <cdr:spPr>
        <a:xfrm xmlns:a="http://schemas.openxmlformats.org/drawingml/2006/main">
          <a:off x="885825" y="2657475"/>
          <a:ext cx="914400" cy="180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u-ES"/>
        </a:p>
      </cdr:txBody>
    </cdr:sp>
  </cdr:relSizeAnchor>
  <cdr:relSizeAnchor xmlns:cdr="http://schemas.openxmlformats.org/drawingml/2006/chartDrawing">
    <cdr:from>
      <cdr:x>0.14965</cdr:x>
      <cdr:y>0.69474</cdr:y>
    </cdr:from>
    <cdr:to>
      <cdr:x>0.28392</cdr:x>
      <cdr:y>0.76053</cdr:y>
    </cdr:to>
    <cdr:sp macro="" textlink="">
      <cdr:nvSpPr>
        <cdr:cNvPr id="11" name="10 CuadroTexto"/>
        <cdr:cNvSpPr txBox="1"/>
      </cdr:nvSpPr>
      <cdr:spPr>
        <a:xfrm xmlns:a="http://schemas.openxmlformats.org/drawingml/2006/main">
          <a:off x="1019175" y="2514600"/>
          <a:ext cx="914400"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u-ES"/>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BD81-5FDA-4D59-890B-5498C298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4407</Words>
  <Characters>25122</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Soraluce Olañeta, Amaia</dc:creator>
  <cp:lastModifiedBy>Soraluce Olañeta, Amaia</cp:lastModifiedBy>
  <cp:revision>5</cp:revision>
  <dcterms:created xsi:type="dcterms:W3CDTF">2019-07-09T06:45:00Z</dcterms:created>
  <dcterms:modified xsi:type="dcterms:W3CDTF">2019-07-09T07:39:00Z</dcterms:modified>
</cp:coreProperties>
</file>