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75" w:rsidRPr="00AB335D" w:rsidRDefault="00F53009" w:rsidP="00344A78">
      <w:pPr>
        <w:jc w:val="both"/>
        <w:rPr>
          <w:rFonts w:cstheme="minorHAnsi"/>
          <w:b/>
          <w:sz w:val="24"/>
          <w:szCs w:val="24"/>
        </w:rPr>
      </w:pPr>
      <w:r w:rsidRPr="00AB335D">
        <w:rPr>
          <w:b/>
          <w:sz w:val="24"/>
          <w:szCs w:val="24"/>
        </w:rPr>
        <w:t>KOLON ETA ONDESTEKO MINBIZIA BAHETZEKO PROGRAMAREN 10. URTEA EUSKADIN</w:t>
      </w:r>
    </w:p>
    <w:p w:rsidR="00F53009" w:rsidRDefault="00CE3F54" w:rsidP="00344A78">
      <w:pPr>
        <w:jc w:val="both"/>
        <w:rPr>
          <w:sz w:val="24"/>
          <w:szCs w:val="24"/>
        </w:rPr>
      </w:pPr>
      <w:r w:rsidRPr="00AB335D">
        <w:rPr>
          <w:sz w:val="24"/>
          <w:szCs w:val="24"/>
        </w:rPr>
        <w:t>Portillo I</w:t>
      </w:r>
      <w:r w:rsidR="005B2834">
        <w:rPr>
          <w:sz w:val="24"/>
          <w:szCs w:val="24"/>
          <w:vertAlign w:val="superscript"/>
        </w:rPr>
        <w:t>1</w:t>
      </w:r>
      <w:r w:rsidRPr="00AB335D">
        <w:rPr>
          <w:sz w:val="24"/>
          <w:szCs w:val="24"/>
        </w:rPr>
        <w:t>, Idigoras I</w:t>
      </w:r>
      <w:r w:rsidR="005B2834" w:rsidRPr="005B2834">
        <w:rPr>
          <w:sz w:val="24"/>
          <w:szCs w:val="24"/>
          <w:vertAlign w:val="superscript"/>
        </w:rPr>
        <w:t>1</w:t>
      </w:r>
      <w:r w:rsidRPr="00AB335D">
        <w:rPr>
          <w:sz w:val="24"/>
          <w:szCs w:val="24"/>
        </w:rPr>
        <w:t xml:space="preserve">, </w:t>
      </w:r>
      <w:proofErr w:type="spellStart"/>
      <w:r w:rsidRPr="00AB335D">
        <w:rPr>
          <w:sz w:val="24"/>
          <w:szCs w:val="24"/>
        </w:rPr>
        <w:t>Bilbao</w:t>
      </w:r>
      <w:proofErr w:type="spellEnd"/>
      <w:r w:rsidRPr="00AB335D">
        <w:rPr>
          <w:sz w:val="24"/>
          <w:szCs w:val="24"/>
        </w:rPr>
        <w:t xml:space="preserve"> I</w:t>
      </w:r>
      <w:r w:rsidR="005B2834">
        <w:rPr>
          <w:sz w:val="24"/>
          <w:szCs w:val="24"/>
          <w:vertAlign w:val="superscript"/>
        </w:rPr>
        <w:t>1</w:t>
      </w:r>
      <w:r w:rsidRPr="00AB335D">
        <w:rPr>
          <w:sz w:val="24"/>
          <w:szCs w:val="24"/>
        </w:rPr>
        <w:t xml:space="preserve">, </w:t>
      </w:r>
      <w:proofErr w:type="spellStart"/>
      <w:r w:rsidRPr="00AB335D">
        <w:rPr>
          <w:sz w:val="24"/>
          <w:szCs w:val="24"/>
        </w:rPr>
        <w:t>Arana-Arri</w:t>
      </w:r>
      <w:proofErr w:type="spellEnd"/>
      <w:r w:rsidR="005B2834">
        <w:rPr>
          <w:sz w:val="24"/>
          <w:szCs w:val="24"/>
          <w:vertAlign w:val="superscript"/>
        </w:rPr>
        <w:t>2</w:t>
      </w:r>
      <w:r w:rsidRPr="00AB335D">
        <w:rPr>
          <w:sz w:val="24"/>
          <w:szCs w:val="24"/>
        </w:rPr>
        <w:t xml:space="preserve"> E, Bujanda</w:t>
      </w:r>
      <w:r w:rsidR="005B2834">
        <w:rPr>
          <w:sz w:val="24"/>
          <w:szCs w:val="24"/>
          <w:vertAlign w:val="superscript"/>
        </w:rPr>
        <w:t>3</w:t>
      </w:r>
      <w:r w:rsidRPr="00AB335D">
        <w:rPr>
          <w:sz w:val="24"/>
          <w:szCs w:val="24"/>
        </w:rPr>
        <w:t xml:space="preserve"> L eta EUSKOLON taldea</w:t>
      </w:r>
    </w:p>
    <w:p w:rsidR="005B2834" w:rsidRDefault="005B2834" w:rsidP="00344A78">
      <w:pPr>
        <w:jc w:val="both"/>
        <w:rPr>
          <w:rFonts w:cstheme="minorHAnsi"/>
          <w:sz w:val="24"/>
          <w:szCs w:val="24"/>
        </w:rPr>
      </w:pPr>
      <w:r>
        <w:rPr>
          <w:rFonts w:cstheme="minorHAnsi"/>
          <w:sz w:val="24"/>
          <w:szCs w:val="24"/>
          <w:vertAlign w:val="superscript"/>
        </w:rPr>
        <w:t xml:space="preserve">1 </w:t>
      </w:r>
      <w:r>
        <w:rPr>
          <w:rFonts w:cstheme="minorHAnsi"/>
          <w:sz w:val="24"/>
          <w:szCs w:val="24"/>
        </w:rPr>
        <w:t>Zuzendaritza Nagusia</w:t>
      </w:r>
    </w:p>
    <w:p w:rsidR="005B2834" w:rsidRDefault="005B2834" w:rsidP="00344A78">
      <w:pPr>
        <w:jc w:val="both"/>
        <w:rPr>
          <w:rFonts w:cstheme="minorHAnsi"/>
          <w:sz w:val="24"/>
          <w:szCs w:val="24"/>
        </w:rPr>
      </w:pPr>
      <w:r>
        <w:rPr>
          <w:rFonts w:cstheme="minorHAnsi"/>
          <w:sz w:val="24"/>
          <w:szCs w:val="24"/>
          <w:vertAlign w:val="superscript"/>
        </w:rPr>
        <w:t xml:space="preserve">2 </w:t>
      </w:r>
      <w:proofErr w:type="spellStart"/>
      <w:r>
        <w:rPr>
          <w:rFonts w:cstheme="minorHAnsi"/>
          <w:sz w:val="24"/>
          <w:szCs w:val="24"/>
        </w:rPr>
        <w:t>Biocruces</w:t>
      </w:r>
      <w:proofErr w:type="spellEnd"/>
    </w:p>
    <w:p w:rsidR="005B2834" w:rsidRPr="005B2834" w:rsidRDefault="005B2834" w:rsidP="00344A78">
      <w:pPr>
        <w:jc w:val="both"/>
        <w:rPr>
          <w:rFonts w:cstheme="minorHAnsi"/>
          <w:sz w:val="24"/>
          <w:szCs w:val="24"/>
        </w:rPr>
      </w:pPr>
      <w:r>
        <w:rPr>
          <w:rFonts w:cstheme="minorHAnsi"/>
          <w:sz w:val="24"/>
          <w:szCs w:val="24"/>
          <w:vertAlign w:val="superscript"/>
        </w:rPr>
        <w:t>3</w:t>
      </w:r>
      <w:r>
        <w:rPr>
          <w:rFonts w:cstheme="minorHAnsi"/>
          <w:sz w:val="24"/>
          <w:szCs w:val="24"/>
        </w:rPr>
        <w:t xml:space="preserve"> Donostialdea ESI/ </w:t>
      </w:r>
      <w:proofErr w:type="spellStart"/>
      <w:r>
        <w:rPr>
          <w:rFonts w:cstheme="minorHAnsi"/>
          <w:sz w:val="24"/>
          <w:szCs w:val="24"/>
        </w:rPr>
        <w:t>Biodonostia</w:t>
      </w:r>
      <w:proofErr w:type="spellEnd"/>
    </w:p>
    <w:p w:rsidR="005B2834" w:rsidRDefault="005B2834" w:rsidP="00344A78">
      <w:pPr>
        <w:jc w:val="both"/>
        <w:rPr>
          <w:b/>
          <w:sz w:val="24"/>
          <w:szCs w:val="24"/>
        </w:rPr>
      </w:pPr>
    </w:p>
    <w:p w:rsidR="004515CB" w:rsidRDefault="005B2834" w:rsidP="004515CB">
      <w:pPr>
        <w:jc w:val="both"/>
        <w:rPr>
          <w:b/>
          <w:sz w:val="24"/>
          <w:szCs w:val="24"/>
        </w:rPr>
      </w:pPr>
      <w:r>
        <w:rPr>
          <w:b/>
          <w:sz w:val="24"/>
          <w:szCs w:val="24"/>
        </w:rPr>
        <w:t>ABSTRACT</w:t>
      </w:r>
    </w:p>
    <w:p w:rsidR="004515CB" w:rsidRPr="004515CB" w:rsidRDefault="004515CB" w:rsidP="004515CB">
      <w:pPr>
        <w:jc w:val="both"/>
        <w:rPr>
          <w:b/>
          <w:sz w:val="24"/>
          <w:szCs w:val="24"/>
        </w:rPr>
      </w:pPr>
      <w:proofErr w:type="spellStart"/>
      <w:r>
        <w:rPr>
          <w:sz w:val="24"/>
          <w:szCs w:val="24"/>
        </w:rPr>
        <w:t>The</w:t>
      </w:r>
      <w:proofErr w:type="spellEnd"/>
      <w:r>
        <w:rPr>
          <w:sz w:val="24"/>
          <w:szCs w:val="24"/>
        </w:rPr>
        <w:t xml:space="preserve"> Basque </w:t>
      </w:r>
      <w:proofErr w:type="spellStart"/>
      <w:r>
        <w:rPr>
          <w:sz w:val="24"/>
          <w:szCs w:val="24"/>
        </w:rPr>
        <w:t>Colorectal</w:t>
      </w:r>
      <w:proofErr w:type="spellEnd"/>
      <w:r>
        <w:rPr>
          <w:sz w:val="24"/>
          <w:szCs w:val="24"/>
        </w:rPr>
        <w:t xml:space="preserve"> Cancer </w:t>
      </w:r>
      <w:proofErr w:type="spellStart"/>
      <w:r>
        <w:rPr>
          <w:sz w:val="24"/>
          <w:szCs w:val="24"/>
        </w:rPr>
        <w:t>Screening</w:t>
      </w:r>
      <w:proofErr w:type="spellEnd"/>
      <w:r>
        <w:rPr>
          <w:sz w:val="24"/>
          <w:szCs w:val="24"/>
        </w:rPr>
        <w:t xml:space="preserve"> </w:t>
      </w:r>
      <w:proofErr w:type="spellStart"/>
      <w:r>
        <w:rPr>
          <w:sz w:val="24"/>
          <w:szCs w:val="24"/>
        </w:rPr>
        <w:t>is</w:t>
      </w:r>
      <w:proofErr w:type="spellEnd"/>
      <w:r>
        <w:rPr>
          <w:sz w:val="24"/>
          <w:szCs w:val="24"/>
        </w:rPr>
        <w:t xml:space="preserve"> a </w:t>
      </w:r>
      <w:proofErr w:type="spellStart"/>
      <w:r>
        <w:rPr>
          <w:sz w:val="24"/>
          <w:szCs w:val="24"/>
        </w:rPr>
        <w:t>population-based</w:t>
      </w:r>
      <w:proofErr w:type="spellEnd"/>
      <w:r>
        <w:rPr>
          <w:sz w:val="24"/>
          <w:szCs w:val="24"/>
        </w:rPr>
        <w:t xml:space="preserve"> </w:t>
      </w:r>
      <w:proofErr w:type="spellStart"/>
      <w:r>
        <w:rPr>
          <w:sz w:val="24"/>
          <w:szCs w:val="24"/>
        </w:rPr>
        <w:t>programme</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residents</w:t>
      </w:r>
      <w:proofErr w:type="spellEnd"/>
      <w:r>
        <w:rPr>
          <w:sz w:val="24"/>
          <w:szCs w:val="24"/>
        </w:rPr>
        <w:t xml:space="preserve"> </w:t>
      </w:r>
      <w:proofErr w:type="spellStart"/>
      <w:r>
        <w:rPr>
          <w:sz w:val="24"/>
          <w:szCs w:val="24"/>
        </w:rPr>
        <w:t>between</w:t>
      </w:r>
      <w:proofErr w:type="spellEnd"/>
      <w:r>
        <w:rPr>
          <w:sz w:val="24"/>
          <w:szCs w:val="24"/>
        </w:rPr>
        <w:t xml:space="preserve"> 50 to 69 </w:t>
      </w:r>
      <w:proofErr w:type="spellStart"/>
      <w:r>
        <w:rPr>
          <w:sz w:val="24"/>
          <w:szCs w:val="24"/>
        </w:rPr>
        <w:t>years</w:t>
      </w:r>
      <w:proofErr w:type="spellEnd"/>
      <w:r>
        <w:rPr>
          <w:sz w:val="24"/>
          <w:szCs w:val="24"/>
        </w:rPr>
        <w:t xml:space="preserve"> </w:t>
      </w:r>
      <w:proofErr w:type="spellStart"/>
      <w:r>
        <w:rPr>
          <w:sz w:val="24"/>
          <w:szCs w:val="24"/>
        </w:rPr>
        <w:t>old</w:t>
      </w:r>
      <w:proofErr w:type="spellEnd"/>
      <w:r>
        <w:rPr>
          <w:sz w:val="24"/>
          <w:szCs w:val="24"/>
        </w:rPr>
        <w:t xml:space="preserve">, </w:t>
      </w:r>
      <w:proofErr w:type="spellStart"/>
      <w:r>
        <w:rPr>
          <w:sz w:val="24"/>
          <w:szCs w:val="24"/>
        </w:rPr>
        <w:t>with</w:t>
      </w:r>
      <w:proofErr w:type="spellEnd"/>
      <w:r>
        <w:rPr>
          <w:sz w:val="24"/>
          <w:szCs w:val="24"/>
        </w:rPr>
        <w:t xml:space="preserve"> </w:t>
      </w:r>
      <w:r w:rsidR="00C1757C">
        <w:rPr>
          <w:sz w:val="24"/>
          <w:szCs w:val="24"/>
        </w:rPr>
        <w:t xml:space="preserve"> </w:t>
      </w:r>
      <w:r w:rsidR="0094414E">
        <w:rPr>
          <w:sz w:val="24"/>
          <w:szCs w:val="24"/>
        </w:rPr>
        <w:t xml:space="preserve">a </w:t>
      </w:r>
      <w:proofErr w:type="spellStart"/>
      <w:r w:rsidR="0094414E">
        <w:rPr>
          <w:sz w:val="24"/>
          <w:szCs w:val="24"/>
        </w:rPr>
        <w:t>biennial</w:t>
      </w:r>
      <w:proofErr w:type="spellEnd"/>
      <w:r w:rsidR="0094414E">
        <w:rPr>
          <w:sz w:val="24"/>
          <w:szCs w:val="24"/>
        </w:rPr>
        <w:t xml:space="preserve"> </w:t>
      </w:r>
      <w:proofErr w:type="spellStart"/>
      <w:r w:rsidR="00C1757C">
        <w:rPr>
          <w:sz w:val="24"/>
          <w:szCs w:val="24"/>
        </w:rPr>
        <w:t>Faecal</w:t>
      </w:r>
      <w:proofErr w:type="spellEnd"/>
      <w:r w:rsidR="00C1757C">
        <w:rPr>
          <w:sz w:val="24"/>
          <w:szCs w:val="24"/>
        </w:rPr>
        <w:t xml:space="preserve"> </w:t>
      </w:r>
      <w:proofErr w:type="spellStart"/>
      <w:r w:rsidR="00C1757C">
        <w:rPr>
          <w:sz w:val="24"/>
          <w:szCs w:val="24"/>
        </w:rPr>
        <w:t>Immunochemical</w:t>
      </w:r>
      <w:proofErr w:type="spellEnd"/>
      <w:r w:rsidR="00C1757C">
        <w:rPr>
          <w:sz w:val="24"/>
          <w:szCs w:val="24"/>
        </w:rPr>
        <w:t xml:space="preserve"> </w:t>
      </w:r>
      <w:proofErr w:type="spellStart"/>
      <w:r w:rsidR="00C1757C">
        <w:rPr>
          <w:sz w:val="24"/>
          <w:szCs w:val="24"/>
        </w:rPr>
        <w:t>quantitative</w:t>
      </w:r>
      <w:proofErr w:type="spellEnd"/>
      <w:r w:rsidR="00C1757C">
        <w:rPr>
          <w:sz w:val="24"/>
          <w:szCs w:val="24"/>
        </w:rPr>
        <w:t xml:space="preserve"> test (FIT) and </w:t>
      </w:r>
      <w:proofErr w:type="spellStart"/>
      <w:r w:rsidR="00C1757C">
        <w:rPr>
          <w:sz w:val="24"/>
          <w:szCs w:val="24"/>
        </w:rPr>
        <w:t>colonoscopy</w:t>
      </w:r>
      <w:proofErr w:type="spellEnd"/>
      <w:r w:rsidR="00C1757C">
        <w:rPr>
          <w:sz w:val="24"/>
          <w:szCs w:val="24"/>
        </w:rPr>
        <w:t xml:space="preserve"> </w:t>
      </w:r>
      <w:proofErr w:type="spellStart"/>
      <w:r w:rsidR="00C1757C">
        <w:rPr>
          <w:sz w:val="24"/>
          <w:szCs w:val="24"/>
        </w:rPr>
        <w:t>under</w:t>
      </w:r>
      <w:proofErr w:type="spellEnd"/>
      <w:r w:rsidR="00C1757C">
        <w:rPr>
          <w:sz w:val="24"/>
          <w:szCs w:val="24"/>
        </w:rPr>
        <w:t xml:space="preserve"> </w:t>
      </w:r>
      <w:proofErr w:type="spellStart"/>
      <w:r w:rsidR="00C1757C">
        <w:rPr>
          <w:sz w:val="24"/>
          <w:szCs w:val="24"/>
        </w:rPr>
        <w:t>sedation</w:t>
      </w:r>
      <w:proofErr w:type="spellEnd"/>
      <w:r w:rsidR="00C1757C">
        <w:rPr>
          <w:sz w:val="24"/>
          <w:szCs w:val="24"/>
        </w:rPr>
        <w:t xml:space="preserve"> as a </w:t>
      </w:r>
      <w:proofErr w:type="spellStart"/>
      <w:r w:rsidR="00C1757C">
        <w:rPr>
          <w:sz w:val="24"/>
          <w:szCs w:val="24"/>
        </w:rPr>
        <w:t>confirmatory</w:t>
      </w:r>
      <w:proofErr w:type="spellEnd"/>
      <w:r w:rsidR="00C1757C">
        <w:rPr>
          <w:sz w:val="24"/>
          <w:szCs w:val="24"/>
        </w:rPr>
        <w:t xml:space="preserve"> </w:t>
      </w:r>
      <w:proofErr w:type="spellStart"/>
      <w:r w:rsidR="00024C7B">
        <w:rPr>
          <w:sz w:val="24"/>
          <w:szCs w:val="24"/>
        </w:rPr>
        <w:t>diagnosis</w:t>
      </w:r>
      <w:proofErr w:type="spellEnd"/>
      <w:r w:rsidR="00C1757C">
        <w:rPr>
          <w:sz w:val="24"/>
          <w:szCs w:val="24"/>
        </w:rPr>
        <w:t xml:space="preserve"> </w:t>
      </w:r>
      <w:proofErr w:type="spellStart"/>
      <w:r w:rsidR="00C1757C">
        <w:rPr>
          <w:sz w:val="24"/>
          <w:szCs w:val="24"/>
        </w:rPr>
        <w:t>in</w:t>
      </w:r>
      <w:proofErr w:type="spellEnd"/>
      <w:r w:rsidR="00C1757C">
        <w:rPr>
          <w:sz w:val="24"/>
          <w:szCs w:val="24"/>
        </w:rPr>
        <w:t xml:space="preserve"> </w:t>
      </w:r>
      <w:proofErr w:type="spellStart"/>
      <w:r w:rsidR="00C1757C">
        <w:rPr>
          <w:sz w:val="24"/>
          <w:szCs w:val="24"/>
        </w:rPr>
        <w:t>posit</w:t>
      </w:r>
      <w:r>
        <w:rPr>
          <w:rFonts w:cstheme="minorHAnsi"/>
          <w:sz w:val="24"/>
          <w:szCs w:val="24"/>
        </w:rPr>
        <w:t>i</w:t>
      </w:r>
      <w:r w:rsidR="00C1757C">
        <w:rPr>
          <w:rFonts w:cstheme="minorHAnsi"/>
          <w:sz w:val="24"/>
          <w:szCs w:val="24"/>
        </w:rPr>
        <w:t>ve</w:t>
      </w:r>
      <w:proofErr w:type="spellEnd"/>
      <w:r w:rsidR="00C1757C">
        <w:rPr>
          <w:rFonts w:cstheme="minorHAnsi"/>
          <w:sz w:val="24"/>
          <w:szCs w:val="24"/>
        </w:rPr>
        <w:t xml:space="preserve"> </w:t>
      </w:r>
      <w:proofErr w:type="spellStart"/>
      <w:r w:rsidR="00C1757C">
        <w:rPr>
          <w:rFonts w:cstheme="minorHAnsi"/>
          <w:sz w:val="24"/>
          <w:szCs w:val="24"/>
        </w:rPr>
        <w:t>cases</w:t>
      </w:r>
      <w:proofErr w:type="spellEnd"/>
      <w:r>
        <w:rPr>
          <w:rFonts w:cstheme="minorHAnsi"/>
          <w:sz w:val="24"/>
          <w:szCs w:val="24"/>
        </w:rPr>
        <w:t xml:space="preserve">. </w:t>
      </w:r>
      <w:proofErr w:type="spellStart"/>
      <w:r w:rsidR="0094414E">
        <w:rPr>
          <w:rFonts w:cstheme="minorHAnsi"/>
          <w:b/>
          <w:sz w:val="24"/>
          <w:szCs w:val="24"/>
        </w:rPr>
        <w:t>Methods</w:t>
      </w:r>
      <w:proofErr w:type="spellEnd"/>
      <w:r>
        <w:rPr>
          <w:rFonts w:cstheme="minorHAnsi"/>
          <w:sz w:val="24"/>
          <w:szCs w:val="24"/>
        </w:rPr>
        <w:t xml:space="preserve">: </w:t>
      </w:r>
      <w:proofErr w:type="spellStart"/>
      <w:r w:rsidR="0094414E">
        <w:rPr>
          <w:rFonts w:cstheme="minorHAnsi"/>
          <w:sz w:val="24"/>
          <w:szCs w:val="24"/>
        </w:rPr>
        <w:t>Individualized</w:t>
      </w:r>
      <w:proofErr w:type="spellEnd"/>
      <w:r w:rsidR="0094414E">
        <w:rPr>
          <w:rFonts w:cstheme="minorHAnsi"/>
          <w:sz w:val="24"/>
          <w:szCs w:val="24"/>
        </w:rPr>
        <w:t xml:space="preserve"> </w:t>
      </w:r>
      <w:proofErr w:type="spellStart"/>
      <w:r w:rsidR="0094414E">
        <w:rPr>
          <w:rFonts w:cstheme="minorHAnsi"/>
          <w:sz w:val="24"/>
          <w:szCs w:val="24"/>
        </w:rPr>
        <w:t>invitation</w:t>
      </w:r>
      <w:proofErr w:type="spellEnd"/>
      <w:r w:rsidR="0094414E">
        <w:rPr>
          <w:rFonts w:cstheme="minorHAnsi"/>
          <w:sz w:val="24"/>
          <w:szCs w:val="24"/>
        </w:rPr>
        <w:t xml:space="preserve">, </w:t>
      </w:r>
      <w:proofErr w:type="spellStart"/>
      <w:r w:rsidR="0094414E">
        <w:rPr>
          <w:rFonts w:cstheme="minorHAnsi"/>
          <w:sz w:val="24"/>
          <w:szCs w:val="24"/>
        </w:rPr>
        <w:t>sending</w:t>
      </w:r>
      <w:proofErr w:type="spellEnd"/>
      <w:r w:rsidR="0094414E">
        <w:rPr>
          <w:rFonts w:cstheme="minorHAnsi"/>
          <w:sz w:val="24"/>
          <w:szCs w:val="24"/>
        </w:rPr>
        <w:t xml:space="preserve"> </w:t>
      </w:r>
      <w:proofErr w:type="spellStart"/>
      <w:r w:rsidR="0094414E">
        <w:rPr>
          <w:rFonts w:cstheme="minorHAnsi"/>
          <w:sz w:val="24"/>
          <w:szCs w:val="24"/>
        </w:rPr>
        <w:t>kit</w:t>
      </w:r>
      <w:proofErr w:type="spellEnd"/>
      <w:r w:rsidR="0094414E">
        <w:rPr>
          <w:rFonts w:cstheme="minorHAnsi"/>
          <w:sz w:val="24"/>
          <w:szCs w:val="24"/>
        </w:rPr>
        <w:t xml:space="preserve"> to </w:t>
      </w:r>
      <w:proofErr w:type="spellStart"/>
      <w:r w:rsidR="0094414E">
        <w:rPr>
          <w:rFonts w:cstheme="minorHAnsi"/>
          <w:sz w:val="24"/>
          <w:szCs w:val="24"/>
        </w:rPr>
        <w:t>address</w:t>
      </w:r>
      <w:proofErr w:type="spellEnd"/>
      <w:r w:rsidR="0094414E">
        <w:rPr>
          <w:rFonts w:cstheme="minorHAnsi"/>
          <w:sz w:val="24"/>
          <w:szCs w:val="24"/>
        </w:rPr>
        <w:t xml:space="preserve">, </w:t>
      </w:r>
      <w:proofErr w:type="spellStart"/>
      <w:r w:rsidR="0094414E">
        <w:rPr>
          <w:rFonts w:cstheme="minorHAnsi"/>
          <w:sz w:val="24"/>
          <w:szCs w:val="24"/>
        </w:rPr>
        <w:t>involvement</w:t>
      </w:r>
      <w:proofErr w:type="spellEnd"/>
      <w:r w:rsidR="0094414E">
        <w:rPr>
          <w:rFonts w:cstheme="minorHAnsi"/>
          <w:sz w:val="24"/>
          <w:szCs w:val="24"/>
        </w:rPr>
        <w:t xml:space="preserve"> </w:t>
      </w:r>
      <w:proofErr w:type="spellStart"/>
      <w:r w:rsidR="0094414E">
        <w:rPr>
          <w:rFonts w:cstheme="minorHAnsi"/>
          <w:sz w:val="24"/>
          <w:szCs w:val="24"/>
        </w:rPr>
        <w:t>of</w:t>
      </w:r>
      <w:proofErr w:type="spellEnd"/>
      <w:r w:rsidR="0094414E">
        <w:rPr>
          <w:rFonts w:cstheme="minorHAnsi"/>
          <w:sz w:val="24"/>
          <w:szCs w:val="24"/>
        </w:rPr>
        <w:t xml:space="preserve"> </w:t>
      </w:r>
      <w:proofErr w:type="spellStart"/>
      <w:r w:rsidR="0094414E">
        <w:rPr>
          <w:rFonts w:cstheme="minorHAnsi"/>
          <w:sz w:val="24"/>
          <w:szCs w:val="24"/>
        </w:rPr>
        <w:t>the</w:t>
      </w:r>
      <w:proofErr w:type="spellEnd"/>
      <w:r w:rsidR="0094414E">
        <w:rPr>
          <w:rFonts w:cstheme="minorHAnsi"/>
          <w:sz w:val="24"/>
          <w:szCs w:val="24"/>
        </w:rPr>
        <w:t xml:space="preserve"> </w:t>
      </w:r>
      <w:proofErr w:type="spellStart"/>
      <w:r w:rsidR="0094414E">
        <w:rPr>
          <w:rFonts w:cstheme="minorHAnsi"/>
          <w:sz w:val="24"/>
          <w:szCs w:val="24"/>
        </w:rPr>
        <w:t>Primary</w:t>
      </w:r>
      <w:proofErr w:type="spellEnd"/>
      <w:r w:rsidR="0094414E">
        <w:rPr>
          <w:rFonts w:cstheme="minorHAnsi"/>
          <w:sz w:val="24"/>
          <w:szCs w:val="24"/>
        </w:rPr>
        <w:t xml:space="preserve"> </w:t>
      </w:r>
      <w:proofErr w:type="spellStart"/>
      <w:r w:rsidR="0094414E">
        <w:rPr>
          <w:rFonts w:cstheme="minorHAnsi"/>
          <w:sz w:val="24"/>
          <w:szCs w:val="24"/>
        </w:rPr>
        <w:t>Care</w:t>
      </w:r>
      <w:proofErr w:type="spellEnd"/>
      <w:r w:rsidR="0094414E">
        <w:rPr>
          <w:rFonts w:cstheme="minorHAnsi"/>
          <w:sz w:val="24"/>
          <w:szCs w:val="24"/>
        </w:rPr>
        <w:t xml:space="preserve"> </w:t>
      </w:r>
      <w:proofErr w:type="spellStart"/>
      <w:r w:rsidR="0094414E">
        <w:rPr>
          <w:rFonts w:cstheme="minorHAnsi"/>
          <w:sz w:val="24"/>
          <w:szCs w:val="24"/>
        </w:rPr>
        <w:t>teams</w:t>
      </w:r>
      <w:proofErr w:type="spellEnd"/>
      <w:r w:rsidR="0094414E">
        <w:rPr>
          <w:rFonts w:cstheme="minorHAnsi"/>
          <w:sz w:val="24"/>
          <w:szCs w:val="24"/>
        </w:rPr>
        <w:t xml:space="preserve"> and </w:t>
      </w:r>
      <w:proofErr w:type="spellStart"/>
      <w:r w:rsidR="0094414E">
        <w:rPr>
          <w:rFonts w:cstheme="minorHAnsi"/>
          <w:sz w:val="24"/>
          <w:szCs w:val="24"/>
        </w:rPr>
        <w:t>Database</w:t>
      </w:r>
      <w:proofErr w:type="spellEnd"/>
      <w:r w:rsidR="0094414E">
        <w:rPr>
          <w:rFonts w:cstheme="minorHAnsi"/>
          <w:sz w:val="24"/>
          <w:szCs w:val="24"/>
        </w:rPr>
        <w:t xml:space="preserve"> </w:t>
      </w:r>
      <w:proofErr w:type="spellStart"/>
      <w:r w:rsidR="0094414E">
        <w:rPr>
          <w:rFonts w:cstheme="minorHAnsi"/>
          <w:sz w:val="24"/>
          <w:szCs w:val="24"/>
        </w:rPr>
        <w:t>linked</w:t>
      </w:r>
      <w:proofErr w:type="spellEnd"/>
      <w:r w:rsidR="0094414E">
        <w:rPr>
          <w:rFonts w:cstheme="minorHAnsi"/>
          <w:sz w:val="24"/>
          <w:szCs w:val="24"/>
        </w:rPr>
        <w:t xml:space="preserve"> </w:t>
      </w:r>
      <w:proofErr w:type="spellStart"/>
      <w:r w:rsidR="0094414E">
        <w:rPr>
          <w:rFonts w:cstheme="minorHAnsi"/>
          <w:sz w:val="24"/>
          <w:szCs w:val="24"/>
        </w:rPr>
        <w:t>with</w:t>
      </w:r>
      <w:proofErr w:type="spellEnd"/>
      <w:r w:rsidR="0094414E">
        <w:rPr>
          <w:rFonts w:cstheme="minorHAnsi"/>
          <w:sz w:val="24"/>
          <w:szCs w:val="24"/>
        </w:rPr>
        <w:t xml:space="preserve"> </w:t>
      </w:r>
      <w:proofErr w:type="spellStart"/>
      <w:r w:rsidR="0094414E">
        <w:rPr>
          <w:rFonts w:cstheme="minorHAnsi"/>
          <w:sz w:val="24"/>
          <w:szCs w:val="24"/>
        </w:rPr>
        <w:t>the</w:t>
      </w:r>
      <w:proofErr w:type="spellEnd"/>
      <w:r w:rsidR="0094414E">
        <w:rPr>
          <w:rFonts w:cstheme="minorHAnsi"/>
          <w:sz w:val="24"/>
          <w:szCs w:val="24"/>
        </w:rPr>
        <w:t xml:space="preserve"> Basque </w:t>
      </w:r>
      <w:proofErr w:type="spellStart"/>
      <w:r w:rsidR="0094414E">
        <w:rPr>
          <w:rFonts w:cstheme="minorHAnsi"/>
          <w:sz w:val="24"/>
          <w:szCs w:val="24"/>
        </w:rPr>
        <w:t>medical</w:t>
      </w:r>
      <w:proofErr w:type="spellEnd"/>
      <w:r w:rsidR="0094414E">
        <w:rPr>
          <w:rFonts w:cstheme="minorHAnsi"/>
          <w:sz w:val="24"/>
          <w:szCs w:val="24"/>
        </w:rPr>
        <w:t xml:space="preserve"> </w:t>
      </w:r>
      <w:proofErr w:type="spellStart"/>
      <w:r w:rsidR="0094414E">
        <w:rPr>
          <w:rFonts w:cstheme="minorHAnsi"/>
          <w:sz w:val="24"/>
          <w:szCs w:val="24"/>
        </w:rPr>
        <w:t>record</w:t>
      </w:r>
      <w:proofErr w:type="spellEnd"/>
      <w:r w:rsidR="00024C7B">
        <w:rPr>
          <w:rFonts w:cstheme="minorHAnsi"/>
          <w:sz w:val="24"/>
          <w:szCs w:val="24"/>
        </w:rPr>
        <w:t xml:space="preserve"> (Osabide)</w:t>
      </w:r>
      <w:r w:rsidR="0094414E">
        <w:rPr>
          <w:rFonts w:cstheme="minorHAnsi"/>
          <w:sz w:val="24"/>
          <w:szCs w:val="24"/>
        </w:rPr>
        <w:t xml:space="preserve">, </w:t>
      </w:r>
      <w:r w:rsidR="00024C7B">
        <w:rPr>
          <w:rFonts w:cstheme="minorHAnsi"/>
          <w:sz w:val="24"/>
          <w:szCs w:val="24"/>
        </w:rPr>
        <w:t xml:space="preserve">and </w:t>
      </w:r>
      <w:proofErr w:type="spellStart"/>
      <w:r w:rsidR="0094414E">
        <w:rPr>
          <w:rFonts w:cstheme="minorHAnsi"/>
          <w:sz w:val="24"/>
          <w:szCs w:val="24"/>
        </w:rPr>
        <w:t>cancer</w:t>
      </w:r>
      <w:proofErr w:type="spellEnd"/>
      <w:r w:rsidR="0094414E">
        <w:rPr>
          <w:rFonts w:cstheme="minorHAnsi"/>
          <w:sz w:val="24"/>
          <w:szCs w:val="24"/>
        </w:rPr>
        <w:t xml:space="preserve"> and </w:t>
      </w:r>
      <w:proofErr w:type="spellStart"/>
      <w:r w:rsidR="0094414E">
        <w:rPr>
          <w:rFonts w:cstheme="minorHAnsi"/>
          <w:sz w:val="24"/>
          <w:szCs w:val="24"/>
        </w:rPr>
        <w:t>mortality</w:t>
      </w:r>
      <w:proofErr w:type="spellEnd"/>
      <w:r w:rsidR="0094414E">
        <w:rPr>
          <w:rFonts w:cstheme="minorHAnsi"/>
          <w:sz w:val="24"/>
          <w:szCs w:val="24"/>
        </w:rPr>
        <w:t xml:space="preserve"> </w:t>
      </w:r>
      <w:proofErr w:type="spellStart"/>
      <w:r w:rsidR="0094414E">
        <w:rPr>
          <w:rFonts w:cstheme="minorHAnsi"/>
          <w:sz w:val="24"/>
          <w:szCs w:val="24"/>
        </w:rPr>
        <w:t>registries</w:t>
      </w:r>
      <w:proofErr w:type="spellEnd"/>
      <w:r w:rsidR="0094414E">
        <w:rPr>
          <w:rFonts w:cstheme="minorHAnsi"/>
          <w:sz w:val="24"/>
          <w:szCs w:val="24"/>
        </w:rPr>
        <w:t xml:space="preserve">. </w:t>
      </w:r>
      <w:proofErr w:type="spellStart"/>
      <w:r w:rsidR="000418CF">
        <w:rPr>
          <w:rFonts w:cstheme="minorHAnsi"/>
          <w:sz w:val="24"/>
          <w:szCs w:val="24"/>
        </w:rPr>
        <w:t>Analysis</w:t>
      </w:r>
      <w:proofErr w:type="spellEnd"/>
      <w:r w:rsidR="000418CF">
        <w:rPr>
          <w:rFonts w:cstheme="minorHAnsi"/>
          <w:sz w:val="24"/>
          <w:szCs w:val="24"/>
        </w:rPr>
        <w:t xml:space="preserve"> </w:t>
      </w:r>
      <w:proofErr w:type="spellStart"/>
      <w:r w:rsidR="000418CF">
        <w:rPr>
          <w:rFonts w:cstheme="minorHAnsi"/>
          <w:sz w:val="24"/>
          <w:szCs w:val="24"/>
        </w:rPr>
        <w:t>of</w:t>
      </w:r>
      <w:proofErr w:type="spellEnd"/>
      <w:r w:rsidR="000418CF">
        <w:rPr>
          <w:rFonts w:cstheme="minorHAnsi"/>
          <w:sz w:val="24"/>
          <w:szCs w:val="24"/>
        </w:rPr>
        <w:t xml:space="preserve"> </w:t>
      </w:r>
      <w:proofErr w:type="spellStart"/>
      <w:r w:rsidR="000418CF">
        <w:rPr>
          <w:rFonts w:cstheme="minorHAnsi"/>
          <w:sz w:val="24"/>
          <w:szCs w:val="24"/>
        </w:rPr>
        <w:t>all</w:t>
      </w:r>
      <w:proofErr w:type="spellEnd"/>
      <w:r w:rsidR="000418CF">
        <w:rPr>
          <w:rFonts w:cstheme="minorHAnsi"/>
          <w:sz w:val="24"/>
          <w:szCs w:val="24"/>
        </w:rPr>
        <w:t xml:space="preserve"> </w:t>
      </w:r>
      <w:proofErr w:type="spellStart"/>
      <w:r w:rsidR="000418CF">
        <w:rPr>
          <w:rFonts w:cstheme="minorHAnsi"/>
          <w:sz w:val="24"/>
          <w:szCs w:val="24"/>
        </w:rPr>
        <w:t>invitations</w:t>
      </w:r>
      <w:proofErr w:type="spellEnd"/>
      <w:r w:rsidR="000418CF">
        <w:rPr>
          <w:rFonts w:cstheme="minorHAnsi"/>
          <w:sz w:val="24"/>
          <w:szCs w:val="24"/>
        </w:rPr>
        <w:t xml:space="preserve"> </w:t>
      </w:r>
      <w:proofErr w:type="spellStart"/>
      <w:r w:rsidR="000418CF">
        <w:rPr>
          <w:rFonts w:cstheme="minorHAnsi"/>
          <w:sz w:val="24"/>
          <w:szCs w:val="24"/>
        </w:rPr>
        <w:t>between</w:t>
      </w:r>
      <w:proofErr w:type="spellEnd"/>
      <w:r w:rsidR="000418CF">
        <w:rPr>
          <w:rFonts w:cstheme="minorHAnsi"/>
          <w:sz w:val="24"/>
          <w:szCs w:val="24"/>
        </w:rPr>
        <w:t xml:space="preserve"> </w:t>
      </w:r>
      <w:r>
        <w:rPr>
          <w:rFonts w:cstheme="minorHAnsi"/>
          <w:sz w:val="24"/>
          <w:szCs w:val="24"/>
        </w:rPr>
        <w:t>2009</w:t>
      </w:r>
      <w:r w:rsidR="000418CF">
        <w:rPr>
          <w:rFonts w:cstheme="minorHAnsi"/>
          <w:sz w:val="24"/>
          <w:szCs w:val="24"/>
        </w:rPr>
        <w:t xml:space="preserve"> to</w:t>
      </w:r>
      <w:r>
        <w:rPr>
          <w:rFonts w:cstheme="minorHAnsi"/>
          <w:sz w:val="24"/>
          <w:szCs w:val="24"/>
        </w:rPr>
        <w:t xml:space="preserve">2016 </w:t>
      </w:r>
      <w:proofErr w:type="spellStart"/>
      <w:r w:rsidR="000418CF">
        <w:rPr>
          <w:rFonts w:cstheme="minorHAnsi"/>
          <w:sz w:val="24"/>
          <w:szCs w:val="24"/>
        </w:rPr>
        <w:t>by</w:t>
      </w:r>
      <w:proofErr w:type="spellEnd"/>
      <w:r w:rsidR="000418CF">
        <w:rPr>
          <w:rFonts w:cstheme="minorHAnsi"/>
          <w:sz w:val="24"/>
          <w:szCs w:val="24"/>
        </w:rPr>
        <w:t xml:space="preserve"> </w:t>
      </w:r>
      <w:proofErr w:type="spellStart"/>
      <w:r w:rsidR="000418CF">
        <w:rPr>
          <w:rFonts w:cstheme="minorHAnsi"/>
          <w:sz w:val="24"/>
          <w:szCs w:val="24"/>
        </w:rPr>
        <w:t>sex</w:t>
      </w:r>
      <w:proofErr w:type="spellEnd"/>
      <w:r w:rsidR="000418CF">
        <w:rPr>
          <w:rFonts w:cstheme="minorHAnsi"/>
          <w:sz w:val="24"/>
          <w:szCs w:val="24"/>
        </w:rPr>
        <w:t xml:space="preserve">, </w:t>
      </w:r>
      <w:proofErr w:type="spellStart"/>
      <w:r w:rsidR="000418CF">
        <w:rPr>
          <w:rFonts w:cstheme="minorHAnsi"/>
          <w:sz w:val="24"/>
          <w:szCs w:val="24"/>
        </w:rPr>
        <w:t>age</w:t>
      </w:r>
      <w:proofErr w:type="spellEnd"/>
      <w:r w:rsidR="000418CF">
        <w:rPr>
          <w:rFonts w:cstheme="minorHAnsi"/>
          <w:sz w:val="24"/>
          <w:szCs w:val="24"/>
        </w:rPr>
        <w:t xml:space="preserve"> and </w:t>
      </w:r>
      <w:proofErr w:type="spellStart"/>
      <w:r w:rsidR="000418CF">
        <w:rPr>
          <w:rFonts w:cstheme="minorHAnsi"/>
          <w:sz w:val="24"/>
          <w:szCs w:val="24"/>
        </w:rPr>
        <w:t>survival</w:t>
      </w:r>
      <w:proofErr w:type="spellEnd"/>
      <w:r w:rsidR="000418CF">
        <w:rPr>
          <w:rFonts w:cstheme="minorHAnsi"/>
          <w:sz w:val="24"/>
          <w:szCs w:val="24"/>
        </w:rPr>
        <w:t xml:space="preserve">  </w:t>
      </w:r>
      <w:proofErr w:type="spellStart"/>
      <w:r w:rsidR="000418CF">
        <w:rPr>
          <w:rFonts w:cstheme="minorHAnsi"/>
          <w:sz w:val="24"/>
          <w:szCs w:val="24"/>
        </w:rPr>
        <w:t>till</w:t>
      </w:r>
      <w:proofErr w:type="spellEnd"/>
      <w:r w:rsidR="000418CF">
        <w:rPr>
          <w:rFonts w:cstheme="minorHAnsi"/>
          <w:sz w:val="24"/>
          <w:szCs w:val="24"/>
        </w:rPr>
        <w:t xml:space="preserve"> </w:t>
      </w:r>
      <w:r>
        <w:rPr>
          <w:rFonts w:cstheme="minorHAnsi"/>
          <w:sz w:val="24"/>
          <w:szCs w:val="24"/>
        </w:rPr>
        <w:t xml:space="preserve">2014. </w:t>
      </w:r>
      <w:proofErr w:type="spellStart"/>
      <w:r w:rsidR="000418CF">
        <w:rPr>
          <w:rFonts w:cstheme="minorHAnsi"/>
          <w:sz w:val="24"/>
          <w:szCs w:val="24"/>
        </w:rPr>
        <w:t>Criteria</w:t>
      </w:r>
      <w:proofErr w:type="spellEnd"/>
      <w:r w:rsidR="000418CF">
        <w:rPr>
          <w:rFonts w:cstheme="minorHAnsi"/>
          <w:sz w:val="24"/>
          <w:szCs w:val="24"/>
        </w:rPr>
        <w:t xml:space="preserve"> and </w:t>
      </w:r>
      <w:proofErr w:type="spellStart"/>
      <w:r w:rsidR="000418CF">
        <w:rPr>
          <w:rFonts w:cstheme="minorHAnsi"/>
          <w:sz w:val="24"/>
          <w:szCs w:val="24"/>
        </w:rPr>
        <w:t>indicators</w:t>
      </w:r>
      <w:proofErr w:type="spellEnd"/>
      <w:r w:rsidR="000418CF">
        <w:rPr>
          <w:rFonts w:cstheme="minorHAnsi"/>
          <w:sz w:val="24"/>
          <w:szCs w:val="24"/>
        </w:rPr>
        <w:t xml:space="preserve"> </w:t>
      </w:r>
      <w:proofErr w:type="spellStart"/>
      <w:r w:rsidR="000418CF">
        <w:rPr>
          <w:rFonts w:cstheme="minorHAnsi"/>
          <w:sz w:val="24"/>
          <w:szCs w:val="24"/>
        </w:rPr>
        <w:t>based</w:t>
      </w:r>
      <w:proofErr w:type="spellEnd"/>
      <w:r w:rsidR="000418CF">
        <w:rPr>
          <w:rFonts w:cstheme="minorHAnsi"/>
          <w:sz w:val="24"/>
          <w:szCs w:val="24"/>
        </w:rPr>
        <w:t xml:space="preserve"> </w:t>
      </w:r>
      <w:proofErr w:type="spellStart"/>
      <w:r w:rsidR="000418CF">
        <w:rPr>
          <w:rFonts w:cstheme="minorHAnsi"/>
          <w:sz w:val="24"/>
          <w:szCs w:val="24"/>
        </w:rPr>
        <w:t>in</w:t>
      </w:r>
      <w:proofErr w:type="spellEnd"/>
      <w:r w:rsidR="000418CF">
        <w:rPr>
          <w:rFonts w:cstheme="minorHAnsi"/>
          <w:sz w:val="24"/>
          <w:szCs w:val="24"/>
        </w:rPr>
        <w:t xml:space="preserve"> </w:t>
      </w:r>
      <w:proofErr w:type="spellStart"/>
      <w:r w:rsidR="000418CF">
        <w:rPr>
          <w:rFonts w:cstheme="minorHAnsi"/>
          <w:sz w:val="24"/>
          <w:szCs w:val="24"/>
        </w:rPr>
        <w:t>the</w:t>
      </w:r>
      <w:proofErr w:type="spellEnd"/>
      <w:r w:rsidR="000418CF">
        <w:rPr>
          <w:rFonts w:cstheme="minorHAnsi"/>
          <w:sz w:val="24"/>
          <w:szCs w:val="24"/>
        </w:rPr>
        <w:t xml:space="preserve"> European </w:t>
      </w:r>
      <w:proofErr w:type="spellStart"/>
      <w:r w:rsidR="000418CF">
        <w:rPr>
          <w:rFonts w:cstheme="minorHAnsi"/>
          <w:sz w:val="24"/>
          <w:szCs w:val="24"/>
        </w:rPr>
        <w:t>Guidelines</w:t>
      </w:r>
      <w:proofErr w:type="spellEnd"/>
      <w:r w:rsidR="000418CF">
        <w:rPr>
          <w:rFonts w:cstheme="minorHAnsi"/>
          <w:sz w:val="24"/>
          <w:szCs w:val="24"/>
        </w:rPr>
        <w:t xml:space="preserve"> </w:t>
      </w:r>
      <w:r w:rsidR="000C2A47">
        <w:rPr>
          <w:rFonts w:cstheme="minorHAnsi"/>
          <w:sz w:val="24"/>
          <w:szCs w:val="24"/>
        </w:rPr>
        <w:t>(2011)</w:t>
      </w:r>
      <w:r>
        <w:rPr>
          <w:rFonts w:cstheme="minorHAnsi"/>
          <w:sz w:val="24"/>
          <w:szCs w:val="24"/>
        </w:rPr>
        <w:t xml:space="preserve">. </w:t>
      </w:r>
      <w:proofErr w:type="spellStart"/>
      <w:r w:rsidR="000C2A47">
        <w:rPr>
          <w:rFonts w:cstheme="minorHAnsi"/>
          <w:sz w:val="24"/>
          <w:szCs w:val="24"/>
        </w:rPr>
        <w:t>Descriptive</w:t>
      </w:r>
      <w:proofErr w:type="spellEnd"/>
      <w:r w:rsidR="000C2A47">
        <w:rPr>
          <w:rFonts w:cstheme="minorHAnsi"/>
          <w:sz w:val="24"/>
          <w:szCs w:val="24"/>
        </w:rPr>
        <w:t xml:space="preserve"> </w:t>
      </w:r>
      <w:proofErr w:type="spellStart"/>
      <w:r w:rsidR="000C2A47">
        <w:rPr>
          <w:rFonts w:cstheme="minorHAnsi"/>
          <w:sz w:val="24"/>
          <w:szCs w:val="24"/>
        </w:rPr>
        <w:t>statistical</w:t>
      </w:r>
      <w:proofErr w:type="spellEnd"/>
      <w:r w:rsidR="000C2A47">
        <w:rPr>
          <w:rFonts w:cstheme="minorHAnsi"/>
          <w:sz w:val="24"/>
          <w:szCs w:val="24"/>
        </w:rPr>
        <w:t xml:space="preserve"> </w:t>
      </w:r>
      <w:proofErr w:type="spellStart"/>
      <w:r w:rsidR="000C2A47">
        <w:rPr>
          <w:rFonts w:cstheme="minorHAnsi"/>
          <w:sz w:val="24"/>
          <w:szCs w:val="24"/>
        </w:rPr>
        <w:t>analysis</w:t>
      </w:r>
      <w:proofErr w:type="spellEnd"/>
      <w:r w:rsidR="000C2A47">
        <w:rPr>
          <w:rFonts w:cstheme="minorHAnsi"/>
          <w:sz w:val="24"/>
          <w:szCs w:val="24"/>
        </w:rPr>
        <w:t xml:space="preserve"> and </w:t>
      </w:r>
      <w:proofErr w:type="spellStart"/>
      <w:r w:rsidR="000C2A47">
        <w:rPr>
          <w:rFonts w:cstheme="minorHAnsi"/>
          <w:sz w:val="24"/>
          <w:szCs w:val="24"/>
        </w:rPr>
        <w:t>Kaplan-Meyer</w:t>
      </w:r>
      <w:proofErr w:type="spellEnd"/>
      <w:r w:rsidR="000C2A47">
        <w:rPr>
          <w:rFonts w:cstheme="minorHAnsi"/>
          <w:sz w:val="24"/>
          <w:szCs w:val="24"/>
        </w:rPr>
        <w:t xml:space="preserve"> </w:t>
      </w:r>
      <w:proofErr w:type="spellStart"/>
      <w:r w:rsidR="000C2A47">
        <w:rPr>
          <w:rFonts w:cstheme="minorHAnsi"/>
          <w:sz w:val="24"/>
          <w:szCs w:val="24"/>
        </w:rPr>
        <w:t>curves</w:t>
      </w:r>
      <w:proofErr w:type="spellEnd"/>
      <w:r w:rsidR="000C2A47">
        <w:rPr>
          <w:rFonts w:cstheme="minorHAnsi"/>
          <w:sz w:val="24"/>
          <w:szCs w:val="24"/>
        </w:rPr>
        <w:t xml:space="preserve"> </w:t>
      </w:r>
      <w:proofErr w:type="spellStart"/>
      <w:r w:rsidR="000C2A47">
        <w:rPr>
          <w:rFonts w:cstheme="minorHAnsi"/>
          <w:sz w:val="24"/>
          <w:szCs w:val="24"/>
        </w:rPr>
        <w:t>using</w:t>
      </w:r>
      <w:proofErr w:type="spellEnd"/>
      <w:r w:rsidR="000C2A47">
        <w:rPr>
          <w:rFonts w:cstheme="minorHAnsi"/>
          <w:sz w:val="24"/>
          <w:szCs w:val="24"/>
        </w:rPr>
        <w:t xml:space="preserve"> SPSS v23 and</w:t>
      </w:r>
      <w:r w:rsidR="000C2A47">
        <w:rPr>
          <w:rFonts w:cstheme="minorHAnsi"/>
          <w:sz w:val="24"/>
          <w:szCs w:val="24"/>
        </w:rPr>
        <w:t xml:space="preserve"> R</w:t>
      </w:r>
      <w:r>
        <w:rPr>
          <w:rFonts w:cstheme="minorHAnsi"/>
          <w:sz w:val="24"/>
          <w:szCs w:val="24"/>
        </w:rPr>
        <w:t xml:space="preserve">. </w:t>
      </w:r>
      <w:proofErr w:type="spellStart"/>
      <w:r>
        <w:rPr>
          <w:rFonts w:cstheme="minorHAnsi"/>
          <w:b/>
          <w:sz w:val="24"/>
          <w:szCs w:val="24"/>
        </w:rPr>
        <w:t>Results</w:t>
      </w:r>
      <w:proofErr w:type="spellEnd"/>
      <w:r>
        <w:rPr>
          <w:rFonts w:cstheme="minorHAnsi"/>
          <w:b/>
          <w:sz w:val="24"/>
          <w:szCs w:val="24"/>
        </w:rPr>
        <w:t>:</w:t>
      </w:r>
      <w:r>
        <w:rPr>
          <w:rFonts w:cstheme="minorHAnsi"/>
          <w:sz w:val="24"/>
          <w:szCs w:val="24"/>
        </w:rPr>
        <w:t xml:space="preserve"> </w:t>
      </w:r>
      <w:r w:rsidR="000C2A47">
        <w:rPr>
          <w:rFonts w:cstheme="minorHAnsi"/>
          <w:sz w:val="24"/>
          <w:szCs w:val="24"/>
        </w:rPr>
        <w:t>1,426,</w:t>
      </w:r>
      <w:r w:rsidRPr="00344A78">
        <w:rPr>
          <w:rFonts w:cstheme="minorHAnsi"/>
          <w:sz w:val="24"/>
          <w:szCs w:val="24"/>
        </w:rPr>
        <w:t xml:space="preserve">846 </w:t>
      </w:r>
      <w:proofErr w:type="spellStart"/>
      <w:r w:rsidR="00024C7B">
        <w:rPr>
          <w:rFonts w:cstheme="minorHAnsi"/>
          <w:sz w:val="24"/>
          <w:szCs w:val="24"/>
        </w:rPr>
        <w:t>of</w:t>
      </w:r>
      <w:proofErr w:type="spellEnd"/>
      <w:r w:rsidR="00024C7B">
        <w:rPr>
          <w:rFonts w:cstheme="minorHAnsi"/>
          <w:sz w:val="24"/>
          <w:szCs w:val="24"/>
        </w:rPr>
        <w:t xml:space="preserve"> </w:t>
      </w:r>
      <w:proofErr w:type="spellStart"/>
      <w:r w:rsidR="000C2A47">
        <w:rPr>
          <w:rFonts w:cstheme="minorHAnsi"/>
          <w:sz w:val="24"/>
          <w:szCs w:val="24"/>
        </w:rPr>
        <w:t>valid</w:t>
      </w:r>
      <w:proofErr w:type="spellEnd"/>
      <w:r w:rsidR="000C2A47">
        <w:rPr>
          <w:rFonts w:cstheme="minorHAnsi"/>
          <w:sz w:val="24"/>
          <w:szCs w:val="24"/>
        </w:rPr>
        <w:t xml:space="preserve"> </w:t>
      </w:r>
      <w:proofErr w:type="spellStart"/>
      <w:r w:rsidR="000C2A47">
        <w:rPr>
          <w:rFonts w:cstheme="minorHAnsi"/>
          <w:sz w:val="24"/>
          <w:szCs w:val="24"/>
        </w:rPr>
        <w:t>invitations</w:t>
      </w:r>
      <w:proofErr w:type="spellEnd"/>
      <w:r w:rsidR="000C2A47">
        <w:rPr>
          <w:rFonts w:cstheme="minorHAnsi"/>
          <w:sz w:val="24"/>
          <w:szCs w:val="24"/>
        </w:rPr>
        <w:t xml:space="preserve"> </w:t>
      </w:r>
      <w:proofErr w:type="spellStart"/>
      <w:r w:rsidR="000C2A47">
        <w:rPr>
          <w:rFonts w:cstheme="minorHAnsi"/>
          <w:sz w:val="24"/>
          <w:szCs w:val="24"/>
        </w:rPr>
        <w:t>with</w:t>
      </w:r>
      <w:proofErr w:type="spellEnd"/>
      <w:r w:rsidR="000C2A47">
        <w:rPr>
          <w:rFonts w:cstheme="minorHAnsi"/>
          <w:sz w:val="24"/>
          <w:szCs w:val="24"/>
        </w:rPr>
        <w:t xml:space="preserve"> </w:t>
      </w:r>
      <w:proofErr w:type="spellStart"/>
      <w:r w:rsidR="000C2A47">
        <w:rPr>
          <w:rFonts w:cstheme="minorHAnsi"/>
          <w:sz w:val="24"/>
          <w:szCs w:val="24"/>
        </w:rPr>
        <w:t>positive</w:t>
      </w:r>
      <w:proofErr w:type="spellEnd"/>
      <w:r w:rsidR="000C2A47">
        <w:rPr>
          <w:rFonts w:cstheme="minorHAnsi"/>
          <w:sz w:val="24"/>
          <w:szCs w:val="24"/>
        </w:rPr>
        <w:t xml:space="preserve"> </w:t>
      </w:r>
      <w:proofErr w:type="spellStart"/>
      <w:r w:rsidR="000C2A47">
        <w:rPr>
          <w:rFonts w:cstheme="minorHAnsi"/>
          <w:sz w:val="24"/>
          <w:szCs w:val="24"/>
        </w:rPr>
        <w:t>trends</w:t>
      </w:r>
      <w:proofErr w:type="spellEnd"/>
      <w:r w:rsidR="000C2A47">
        <w:rPr>
          <w:rFonts w:cstheme="minorHAnsi"/>
          <w:sz w:val="24"/>
          <w:szCs w:val="24"/>
        </w:rPr>
        <w:t xml:space="preserve"> </w:t>
      </w:r>
      <w:proofErr w:type="spellStart"/>
      <w:r w:rsidR="000C2A47">
        <w:rPr>
          <w:rFonts w:cstheme="minorHAnsi"/>
          <w:sz w:val="24"/>
          <w:szCs w:val="24"/>
        </w:rPr>
        <w:t>in</w:t>
      </w:r>
      <w:proofErr w:type="spellEnd"/>
      <w:r w:rsidR="000C2A47">
        <w:rPr>
          <w:rFonts w:cstheme="minorHAnsi"/>
          <w:sz w:val="24"/>
          <w:szCs w:val="24"/>
        </w:rPr>
        <w:t xml:space="preserve"> </w:t>
      </w:r>
      <w:proofErr w:type="spellStart"/>
      <w:r w:rsidR="000C2A47">
        <w:rPr>
          <w:rFonts w:cstheme="minorHAnsi"/>
          <w:sz w:val="24"/>
          <w:szCs w:val="24"/>
        </w:rPr>
        <w:t>participation</w:t>
      </w:r>
      <w:proofErr w:type="spellEnd"/>
      <w:r>
        <w:rPr>
          <w:rFonts w:cstheme="minorHAnsi"/>
          <w:sz w:val="24"/>
          <w:szCs w:val="24"/>
        </w:rPr>
        <w:t xml:space="preserve"> (p&lt;0</w:t>
      </w:r>
      <w:r w:rsidR="000C2A47">
        <w:rPr>
          <w:rFonts w:cstheme="minorHAnsi"/>
          <w:sz w:val="24"/>
          <w:szCs w:val="24"/>
        </w:rPr>
        <w:t>.</w:t>
      </w:r>
      <w:r>
        <w:rPr>
          <w:rFonts w:cstheme="minorHAnsi"/>
          <w:sz w:val="24"/>
          <w:szCs w:val="24"/>
        </w:rPr>
        <w:t>001</w:t>
      </w:r>
      <w:proofErr w:type="spellStart"/>
      <w:r>
        <w:rPr>
          <w:rFonts w:cstheme="minorHAnsi"/>
          <w:sz w:val="24"/>
          <w:szCs w:val="24"/>
        </w:rPr>
        <w:t>),</w:t>
      </w:r>
      <w:r w:rsidR="00024C7B">
        <w:rPr>
          <w:rFonts w:cstheme="minorHAnsi"/>
          <w:sz w:val="24"/>
          <w:szCs w:val="24"/>
        </w:rPr>
        <w:t xml:space="preserve"> </w:t>
      </w:r>
      <w:r w:rsidR="000C2A47">
        <w:rPr>
          <w:rFonts w:cstheme="minorHAnsi"/>
          <w:sz w:val="24"/>
          <w:szCs w:val="24"/>
        </w:rPr>
        <w:t>hi</w:t>
      </w:r>
      <w:proofErr w:type="spellEnd"/>
      <w:r w:rsidR="000C2A47">
        <w:rPr>
          <w:rFonts w:cstheme="minorHAnsi"/>
          <w:sz w:val="24"/>
          <w:szCs w:val="24"/>
        </w:rPr>
        <w:t xml:space="preserve">gher </w:t>
      </w:r>
      <w:proofErr w:type="spellStart"/>
      <w:r w:rsidR="000C2A47">
        <w:rPr>
          <w:rFonts w:cstheme="minorHAnsi"/>
          <w:sz w:val="24"/>
          <w:szCs w:val="24"/>
        </w:rPr>
        <w:t>in</w:t>
      </w:r>
      <w:proofErr w:type="spellEnd"/>
      <w:r w:rsidR="000C2A47">
        <w:rPr>
          <w:rFonts w:cstheme="minorHAnsi"/>
          <w:sz w:val="24"/>
          <w:szCs w:val="24"/>
        </w:rPr>
        <w:t xml:space="preserve"> </w:t>
      </w:r>
      <w:proofErr w:type="spellStart"/>
      <w:r w:rsidR="000C2A47">
        <w:rPr>
          <w:rFonts w:cstheme="minorHAnsi"/>
          <w:sz w:val="24"/>
          <w:szCs w:val="24"/>
        </w:rPr>
        <w:t>women</w:t>
      </w:r>
      <w:proofErr w:type="spellEnd"/>
      <w:r w:rsidR="000C2A47">
        <w:rPr>
          <w:rFonts w:cstheme="minorHAnsi"/>
          <w:sz w:val="24"/>
          <w:szCs w:val="24"/>
        </w:rPr>
        <w:t xml:space="preserve"> </w:t>
      </w:r>
      <w:proofErr w:type="spellStart"/>
      <w:r w:rsidR="000C2A47">
        <w:rPr>
          <w:rFonts w:cstheme="minorHAnsi"/>
          <w:sz w:val="24"/>
          <w:szCs w:val="24"/>
        </w:rPr>
        <w:t>than</w:t>
      </w:r>
      <w:proofErr w:type="spellEnd"/>
      <w:r w:rsidR="000C2A47">
        <w:rPr>
          <w:rFonts w:cstheme="minorHAnsi"/>
          <w:sz w:val="24"/>
          <w:szCs w:val="24"/>
        </w:rPr>
        <w:t xml:space="preserve"> men, </w:t>
      </w:r>
      <w:proofErr w:type="spellStart"/>
      <w:r w:rsidR="000C2A47">
        <w:rPr>
          <w:rFonts w:cstheme="minorHAnsi"/>
          <w:sz w:val="24"/>
          <w:szCs w:val="24"/>
        </w:rPr>
        <w:t>being</w:t>
      </w:r>
      <w:proofErr w:type="spellEnd"/>
      <w:r w:rsidR="000C2A47">
        <w:rPr>
          <w:rFonts w:cstheme="minorHAnsi"/>
          <w:sz w:val="24"/>
          <w:szCs w:val="24"/>
        </w:rPr>
        <w:t xml:space="preserve"> </w:t>
      </w:r>
      <w:proofErr w:type="spellStart"/>
      <w:r w:rsidR="000C2A47">
        <w:rPr>
          <w:rFonts w:cstheme="minorHAnsi"/>
          <w:sz w:val="24"/>
          <w:szCs w:val="24"/>
        </w:rPr>
        <w:t>in</w:t>
      </w:r>
      <w:proofErr w:type="spellEnd"/>
      <w:r w:rsidR="000C2A47">
        <w:rPr>
          <w:rFonts w:cstheme="minorHAnsi"/>
          <w:sz w:val="24"/>
          <w:szCs w:val="24"/>
        </w:rPr>
        <w:t xml:space="preserve"> 2016 74.5% vs 69.9</w:t>
      </w:r>
      <w:proofErr w:type="spellStart"/>
      <w:r w:rsidR="000C2A47">
        <w:rPr>
          <w:rFonts w:cstheme="minorHAnsi"/>
          <w:sz w:val="24"/>
          <w:szCs w:val="24"/>
        </w:rPr>
        <w:t>%.</w:t>
      </w:r>
      <w:proofErr w:type="spellEnd"/>
      <w:r w:rsidR="000C2A47">
        <w:rPr>
          <w:rFonts w:cstheme="minorHAnsi"/>
          <w:sz w:val="24"/>
          <w:szCs w:val="24"/>
        </w:rPr>
        <w:t xml:space="preserve"> </w:t>
      </w:r>
      <w:proofErr w:type="spellStart"/>
      <w:r w:rsidR="000C2A47">
        <w:rPr>
          <w:rFonts w:cstheme="minorHAnsi"/>
          <w:sz w:val="24"/>
          <w:szCs w:val="24"/>
        </w:rPr>
        <w:t>Respect</w:t>
      </w:r>
      <w:proofErr w:type="spellEnd"/>
      <w:r w:rsidR="000C2A47">
        <w:rPr>
          <w:rFonts w:cstheme="minorHAnsi"/>
          <w:sz w:val="24"/>
          <w:szCs w:val="24"/>
        </w:rPr>
        <w:t xml:space="preserve"> to </w:t>
      </w:r>
      <w:proofErr w:type="spellStart"/>
      <w:r w:rsidR="000C2A47">
        <w:rPr>
          <w:rFonts w:cstheme="minorHAnsi"/>
          <w:sz w:val="24"/>
          <w:szCs w:val="24"/>
        </w:rPr>
        <w:t>Advanced</w:t>
      </w:r>
      <w:proofErr w:type="spellEnd"/>
      <w:r w:rsidR="000C2A47">
        <w:rPr>
          <w:rFonts w:cstheme="minorHAnsi"/>
          <w:sz w:val="24"/>
          <w:szCs w:val="24"/>
        </w:rPr>
        <w:t xml:space="preserve"> </w:t>
      </w:r>
      <w:proofErr w:type="spellStart"/>
      <w:r w:rsidR="000C2A47">
        <w:rPr>
          <w:rFonts w:cstheme="minorHAnsi"/>
          <w:sz w:val="24"/>
          <w:szCs w:val="24"/>
        </w:rPr>
        <w:t>Neoplasia</w:t>
      </w:r>
      <w:proofErr w:type="spellEnd"/>
      <w:r w:rsidR="000C2A47">
        <w:rPr>
          <w:rFonts w:cstheme="minorHAnsi"/>
          <w:sz w:val="24"/>
          <w:szCs w:val="24"/>
        </w:rPr>
        <w:t xml:space="preserve"> </w:t>
      </w:r>
      <w:r>
        <w:rPr>
          <w:rFonts w:cstheme="minorHAnsi"/>
          <w:sz w:val="24"/>
          <w:szCs w:val="24"/>
        </w:rPr>
        <w:t xml:space="preserve">  (</w:t>
      </w:r>
      <w:proofErr w:type="spellStart"/>
      <w:r>
        <w:rPr>
          <w:rFonts w:cstheme="minorHAnsi"/>
          <w:sz w:val="24"/>
          <w:szCs w:val="24"/>
        </w:rPr>
        <w:t>Ad</w:t>
      </w:r>
      <w:r w:rsidR="000C2A47">
        <w:rPr>
          <w:rFonts w:cstheme="minorHAnsi"/>
          <w:sz w:val="24"/>
          <w:szCs w:val="24"/>
        </w:rPr>
        <w:t>vanced</w:t>
      </w:r>
      <w:proofErr w:type="spellEnd"/>
      <w:r w:rsidR="000C2A47">
        <w:rPr>
          <w:rFonts w:cstheme="minorHAnsi"/>
          <w:sz w:val="24"/>
          <w:szCs w:val="24"/>
        </w:rPr>
        <w:t xml:space="preserve"> </w:t>
      </w:r>
      <w:proofErr w:type="spellStart"/>
      <w:r w:rsidR="000C2A47">
        <w:rPr>
          <w:rFonts w:cstheme="minorHAnsi"/>
          <w:sz w:val="24"/>
          <w:szCs w:val="24"/>
        </w:rPr>
        <w:t>Ad</w:t>
      </w:r>
      <w:r>
        <w:rPr>
          <w:rFonts w:cstheme="minorHAnsi"/>
          <w:sz w:val="24"/>
          <w:szCs w:val="24"/>
        </w:rPr>
        <w:t>enomas</w:t>
      </w:r>
      <w:proofErr w:type="spellEnd"/>
      <w:r>
        <w:rPr>
          <w:rFonts w:cstheme="minorHAnsi"/>
          <w:sz w:val="24"/>
          <w:szCs w:val="24"/>
        </w:rPr>
        <w:t xml:space="preserve"> </w:t>
      </w:r>
      <w:r w:rsidR="00B3585F">
        <w:rPr>
          <w:rFonts w:cstheme="minorHAnsi"/>
          <w:sz w:val="24"/>
          <w:szCs w:val="24"/>
        </w:rPr>
        <w:t xml:space="preserve">and </w:t>
      </w:r>
      <w:proofErr w:type="spellStart"/>
      <w:r w:rsidR="00B3585F">
        <w:rPr>
          <w:rFonts w:cstheme="minorHAnsi"/>
          <w:sz w:val="24"/>
          <w:szCs w:val="24"/>
        </w:rPr>
        <w:t>invasive</w:t>
      </w:r>
      <w:proofErr w:type="spellEnd"/>
      <w:r w:rsidR="00B3585F">
        <w:rPr>
          <w:rFonts w:cstheme="minorHAnsi"/>
          <w:sz w:val="24"/>
          <w:szCs w:val="24"/>
        </w:rPr>
        <w:t xml:space="preserve"> C</w:t>
      </w:r>
      <w:r w:rsidR="000C2A47">
        <w:rPr>
          <w:rFonts w:cstheme="minorHAnsi"/>
          <w:sz w:val="24"/>
          <w:szCs w:val="24"/>
        </w:rPr>
        <w:t>ancer</w:t>
      </w:r>
      <w:r>
        <w:rPr>
          <w:rFonts w:cstheme="minorHAnsi"/>
          <w:sz w:val="24"/>
          <w:szCs w:val="24"/>
        </w:rPr>
        <w:t xml:space="preserve">) </w:t>
      </w:r>
      <w:r w:rsidR="00B3585F">
        <w:rPr>
          <w:rFonts w:cstheme="minorHAnsi"/>
          <w:sz w:val="24"/>
          <w:szCs w:val="24"/>
        </w:rPr>
        <w:t xml:space="preserve">a </w:t>
      </w:r>
      <w:proofErr w:type="spellStart"/>
      <w:r w:rsidR="00B3585F">
        <w:rPr>
          <w:rFonts w:cstheme="minorHAnsi"/>
          <w:sz w:val="24"/>
          <w:szCs w:val="24"/>
        </w:rPr>
        <w:t>higher</w:t>
      </w:r>
      <w:proofErr w:type="spellEnd"/>
      <w:r w:rsidR="00B3585F">
        <w:rPr>
          <w:rFonts w:cstheme="minorHAnsi"/>
          <w:sz w:val="24"/>
          <w:szCs w:val="24"/>
        </w:rPr>
        <w:t xml:space="preserve"> </w:t>
      </w:r>
      <w:proofErr w:type="spellStart"/>
      <w:r w:rsidR="00B3585F">
        <w:rPr>
          <w:rFonts w:cstheme="minorHAnsi"/>
          <w:sz w:val="24"/>
          <w:szCs w:val="24"/>
        </w:rPr>
        <w:t>rate</w:t>
      </w:r>
      <w:proofErr w:type="spellEnd"/>
      <w:r w:rsidR="00B3585F">
        <w:rPr>
          <w:rFonts w:cstheme="minorHAnsi"/>
          <w:sz w:val="24"/>
          <w:szCs w:val="24"/>
        </w:rPr>
        <w:t xml:space="preserve"> </w:t>
      </w:r>
      <w:proofErr w:type="spellStart"/>
      <w:r w:rsidR="00024C7B">
        <w:rPr>
          <w:rFonts w:cstheme="minorHAnsi"/>
          <w:sz w:val="24"/>
          <w:szCs w:val="24"/>
        </w:rPr>
        <w:t>of</w:t>
      </w:r>
      <w:proofErr w:type="spellEnd"/>
      <w:r w:rsidR="00024C7B">
        <w:rPr>
          <w:rFonts w:cstheme="minorHAnsi"/>
          <w:sz w:val="24"/>
          <w:szCs w:val="24"/>
        </w:rPr>
        <w:t xml:space="preserve"> </w:t>
      </w:r>
      <w:proofErr w:type="spellStart"/>
      <w:r w:rsidR="00024C7B">
        <w:rPr>
          <w:rFonts w:cstheme="minorHAnsi"/>
          <w:sz w:val="24"/>
          <w:szCs w:val="24"/>
        </w:rPr>
        <w:t>detection</w:t>
      </w:r>
      <w:proofErr w:type="spellEnd"/>
      <w:r w:rsidR="00024C7B">
        <w:rPr>
          <w:rFonts w:cstheme="minorHAnsi"/>
          <w:sz w:val="24"/>
          <w:szCs w:val="24"/>
        </w:rPr>
        <w:t xml:space="preserve"> </w:t>
      </w:r>
      <w:proofErr w:type="spellStart"/>
      <w:r w:rsidR="00B3585F">
        <w:rPr>
          <w:rFonts w:cstheme="minorHAnsi"/>
          <w:sz w:val="24"/>
          <w:szCs w:val="24"/>
        </w:rPr>
        <w:t>was</w:t>
      </w:r>
      <w:proofErr w:type="spellEnd"/>
      <w:r w:rsidR="00B3585F">
        <w:rPr>
          <w:rFonts w:cstheme="minorHAnsi"/>
          <w:sz w:val="24"/>
          <w:szCs w:val="24"/>
        </w:rPr>
        <w:t xml:space="preserve"> </w:t>
      </w:r>
      <w:proofErr w:type="spellStart"/>
      <w:r w:rsidR="00B3585F">
        <w:rPr>
          <w:rFonts w:cstheme="minorHAnsi"/>
          <w:sz w:val="24"/>
          <w:szCs w:val="24"/>
        </w:rPr>
        <w:t>observed</w:t>
      </w:r>
      <w:proofErr w:type="spellEnd"/>
      <w:r w:rsidR="00B3585F">
        <w:rPr>
          <w:rFonts w:cstheme="minorHAnsi"/>
          <w:sz w:val="24"/>
          <w:szCs w:val="24"/>
        </w:rPr>
        <w:t xml:space="preserve"> </w:t>
      </w:r>
      <w:proofErr w:type="spellStart"/>
      <w:r w:rsidR="00B3585F">
        <w:rPr>
          <w:rFonts w:cstheme="minorHAnsi"/>
          <w:sz w:val="24"/>
          <w:szCs w:val="24"/>
        </w:rPr>
        <w:t>in</w:t>
      </w:r>
      <w:proofErr w:type="spellEnd"/>
      <w:r w:rsidR="00B3585F">
        <w:rPr>
          <w:rFonts w:cstheme="minorHAnsi"/>
          <w:sz w:val="24"/>
          <w:szCs w:val="24"/>
        </w:rPr>
        <w:t xml:space="preserve"> men. </w:t>
      </w:r>
      <w:proofErr w:type="spellStart"/>
      <w:r w:rsidR="00B3585F">
        <w:rPr>
          <w:rFonts w:cstheme="minorHAnsi"/>
          <w:sz w:val="24"/>
          <w:szCs w:val="24"/>
        </w:rPr>
        <w:t>The</w:t>
      </w:r>
      <w:proofErr w:type="spellEnd"/>
      <w:r w:rsidR="00B3585F">
        <w:rPr>
          <w:rFonts w:cstheme="minorHAnsi"/>
          <w:sz w:val="24"/>
          <w:szCs w:val="24"/>
        </w:rPr>
        <w:t xml:space="preserve"> </w:t>
      </w:r>
      <w:proofErr w:type="spellStart"/>
      <w:r w:rsidR="00B3585F">
        <w:rPr>
          <w:rFonts w:cstheme="minorHAnsi"/>
          <w:sz w:val="24"/>
          <w:szCs w:val="24"/>
        </w:rPr>
        <w:t>colonoscopy</w:t>
      </w:r>
      <w:proofErr w:type="spellEnd"/>
      <w:r w:rsidR="00B3585F">
        <w:rPr>
          <w:rFonts w:cstheme="minorHAnsi"/>
          <w:sz w:val="24"/>
          <w:szCs w:val="24"/>
        </w:rPr>
        <w:t xml:space="preserve"> </w:t>
      </w:r>
      <w:proofErr w:type="spellStart"/>
      <w:r w:rsidR="00B3585F">
        <w:rPr>
          <w:rFonts w:cstheme="minorHAnsi"/>
          <w:sz w:val="24"/>
          <w:szCs w:val="24"/>
        </w:rPr>
        <w:t>compliance</w:t>
      </w:r>
      <w:proofErr w:type="spellEnd"/>
      <w:r w:rsidR="00B3585F">
        <w:rPr>
          <w:rFonts w:cstheme="minorHAnsi"/>
          <w:sz w:val="24"/>
          <w:szCs w:val="24"/>
        </w:rPr>
        <w:t xml:space="preserve"> </w:t>
      </w:r>
      <w:proofErr w:type="spellStart"/>
      <w:r w:rsidR="00B3585F">
        <w:rPr>
          <w:rFonts w:cstheme="minorHAnsi"/>
          <w:sz w:val="24"/>
          <w:szCs w:val="24"/>
        </w:rPr>
        <w:t>after</w:t>
      </w:r>
      <w:proofErr w:type="spellEnd"/>
      <w:r w:rsidR="00B3585F">
        <w:rPr>
          <w:rFonts w:cstheme="minorHAnsi"/>
          <w:sz w:val="24"/>
          <w:szCs w:val="24"/>
        </w:rPr>
        <w:t xml:space="preserve"> a </w:t>
      </w:r>
      <w:proofErr w:type="spellStart"/>
      <w:r w:rsidR="00B3585F">
        <w:rPr>
          <w:rFonts w:cstheme="minorHAnsi"/>
          <w:sz w:val="24"/>
          <w:szCs w:val="24"/>
        </w:rPr>
        <w:t>positive</w:t>
      </w:r>
      <w:proofErr w:type="spellEnd"/>
      <w:r w:rsidR="00B3585F">
        <w:rPr>
          <w:rFonts w:cstheme="minorHAnsi"/>
          <w:sz w:val="24"/>
          <w:szCs w:val="24"/>
        </w:rPr>
        <w:t xml:space="preserve"> test </w:t>
      </w:r>
      <w:proofErr w:type="spellStart"/>
      <w:r w:rsidR="00B3585F">
        <w:rPr>
          <w:rFonts w:cstheme="minorHAnsi"/>
          <w:sz w:val="24"/>
          <w:szCs w:val="24"/>
        </w:rPr>
        <w:t>was</w:t>
      </w:r>
      <w:proofErr w:type="spellEnd"/>
      <w:r w:rsidR="00B3585F">
        <w:rPr>
          <w:rFonts w:cstheme="minorHAnsi"/>
          <w:sz w:val="24"/>
          <w:szCs w:val="24"/>
        </w:rPr>
        <w:t xml:space="preserve"> </w:t>
      </w:r>
      <w:r>
        <w:rPr>
          <w:rFonts w:cstheme="minorHAnsi"/>
          <w:sz w:val="24"/>
          <w:szCs w:val="24"/>
        </w:rPr>
        <w:t xml:space="preserve">95% </w:t>
      </w:r>
      <w:proofErr w:type="spellStart"/>
      <w:r w:rsidR="00B3585F">
        <w:rPr>
          <w:rFonts w:cstheme="minorHAnsi"/>
          <w:sz w:val="24"/>
          <w:szCs w:val="24"/>
        </w:rPr>
        <w:t>with</w:t>
      </w:r>
      <w:proofErr w:type="spellEnd"/>
      <w:r w:rsidR="00B3585F">
        <w:rPr>
          <w:rFonts w:cstheme="minorHAnsi"/>
          <w:sz w:val="24"/>
          <w:szCs w:val="24"/>
        </w:rPr>
        <w:t xml:space="preserve"> </w:t>
      </w:r>
      <w:proofErr w:type="spellStart"/>
      <w:r w:rsidR="00B3585F">
        <w:rPr>
          <w:rFonts w:cstheme="minorHAnsi"/>
          <w:sz w:val="24"/>
          <w:szCs w:val="24"/>
        </w:rPr>
        <w:t>an</w:t>
      </w:r>
      <w:proofErr w:type="spellEnd"/>
      <w:r w:rsidR="00B3585F">
        <w:rPr>
          <w:rFonts w:cstheme="minorHAnsi"/>
          <w:sz w:val="24"/>
          <w:szCs w:val="24"/>
        </w:rPr>
        <w:t xml:space="preserve"> </w:t>
      </w:r>
      <w:proofErr w:type="spellStart"/>
      <w:r w:rsidR="00B3585F">
        <w:rPr>
          <w:rFonts w:cstheme="minorHAnsi"/>
          <w:sz w:val="24"/>
          <w:szCs w:val="24"/>
        </w:rPr>
        <w:t>appropriate</w:t>
      </w:r>
      <w:proofErr w:type="spellEnd"/>
      <w:r w:rsidR="00B3585F">
        <w:rPr>
          <w:rFonts w:cstheme="minorHAnsi"/>
          <w:sz w:val="24"/>
          <w:szCs w:val="24"/>
        </w:rPr>
        <w:t xml:space="preserve"> </w:t>
      </w:r>
      <w:proofErr w:type="spellStart"/>
      <w:r w:rsidR="00B3585F">
        <w:rPr>
          <w:rFonts w:cstheme="minorHAnsi"/>
          <w:sz w:val="24"/>
          <w:szCs w:val="24"/>
        </w:rPr>
        <w:t>cleansing</w:t>
      </w:r>
      <w:proofErr w:type="spellEnd"/>
      <w:r w:rsidR="00B3585F">
        <w:rPr>
          <w:rFonts w:cstheme="minorHAnsi"/>
          <w:sz w:val="24"/>
          <w:szCs w:val="24"/>
        </w:rPr>
        <w:t xml:space="preserve"> </w:t>
      </w:r>
      <w:proofErr w:type="spellStart"/>
      <w:r w:rsidR="00B3585F">
        <w:rPr>
          <w:rFonts w:cstheme="minorHAnsi"/>
          <w:sz w:val="24"/>
          <w:szCs w:val="24"/>
        </w:rPr>
        <w:t>in</w:t>
      </w:r>
      <w:proofErr w:type="spellEnd"/>
      <w:r w:rsidR="00B3585F">
        <w:rPr>
          <w:rFonts w:cstheme="minorHAnsi"/>
          <w:sz w:val="24"/>
          <w:szCs w:val="24"/>
        </w:rPr>
        <w:t xml:space="preserve"> 89.</w:t>
      </w:r>
      <w:r>
        <w:rPr>
          <w:rFonts w:cstheme="minorHAnsi"/>
          <w:sz w:val="24"/>
          <w:szCs w:val="24"/>
        </w:rPr>
        <w:t xml:space="preserve">1% </w:t>
      </w:r>
      <w:proofErr w:type="spellStart"/>
      <w:r w:rsidR="00B3585F">
        <w:rPr>
          <w:rFonts w:cstheme="minorHAnsi"/>
          <w:sz w:val="24"/>
          <w:szCs w:val="24"/>
        </w:rPr>
        <w:t>of</w:t>
      </w:r>
      <w:proofErr w:type="spellEnd"/>
      <w:r w:rsidR="00B3585F">
        <w:rPr>
          <w:rFonts w:cstheme="minorHAnsi"/>
          <w:sz w:val="24"/>
          <w:szCs w:val="24"/>
        </w:rPr>
        <w:t xml:space="preserve"> </w:t>
      </w:r>
      <w:proofErr w:type="spellStart"/>
      <w:r w:rsidR="00B3585F">
        <w:rPr>
          <w:rFonts w:cstheme="minorHAnsi"/>
          <w:sz w:val="24"/>
          <w:szCs w:val="24"/>
        </w:rPr>
        <w:t>the</w:t>
      </w:r>
      <w:proofErr w:type="spellEnd"/>
      <w:r w:rsidR="00B3585F">
        <w:rPr>
          <w:rFonts w:cstheme="minorHAnsi"/>
          <w:sz w:val="24"/>
          <w:szCs w:val="24"/>
        </w:rPr>
        <w:t xml:space="preserve"> </w:t>
      </w:r>
      <w:proofErr w:type="spellStart"/>
      <w:r w:rsidR="00B3585F">
        <w:rPr>
          <w:rFonts w:cstheme="minorHAnsi"/>
          <w:sz w:val="24"/>
          <w:szCs w:val="24"/>
        </w:rPr>
        <w:t>colonoscopies</w:t>
      </w:r>
      <w:proofErr w:type="spellEnd"/>
      <w:r w:rsidR="00B3585F">
        <w:rPr>
          <w:rFonts w:cstheme="minorHAnsi"/>
          <w:sz w:val="24"/>
          <w:szCs w:val="24"/>
        </w:rPr>
        <w:t xml:space="preserve"> </w:t>
      </w:r>
      <w:proofErr w:type="spellStart"/>
      <w:r w:rsidR="00B3585F">
        <w:rPr>
          <w:rFonts w:cstheme="minorHAnsi"/>
          <w:sz w:val="24"/>
          <w:szCs w:val="24"/>
        </w:rPr>
        <w:t>performed</w:t>
      </w:r>
      <w:proofErr w:type="spellEnd"/>
      <w:r w:rsidR="00B3585F">
        <w:rPr>
          <w:rFonts w:cstheme="minorHAnsi"/>
          <w:sz w:val="24"/>
          <w:szCs w:val="24"/>
        </w:rPr>
        <w:t xml:space="preserve">. </w:t>
      </w:r>
      <w:proofErr w:type="spellStart"/>
      <w:r w:rsidR="00B3585F">
        <w:rPr>
          <w:rFonts w:cstheme="minorHAnsi"/>
          <w:sz w:val="24"/>
          <w:szCs w:val="24"/>
        </w:rPr>
        <w:t>Out</w:t>
      </w:r>
      <w:proofErr w:type="spellEnd"/>
      <w:r w:rsidR="00B3585F">
        <w:rPr>
          <w:rFonts w:cstheme="minorHAnsi"/>
          <w:sz w:val="24"/>
          <w:szCs w:val="24"/>
        </w:rPr>
        <w:t xml:space="preserve"> </w:t>
      </w:r>
      <w:proofErr w:type="spellStart"/>
      <w:r w:rsidR="00B3585F">
        <w:rPr>
          <w:rFonts w:cstheme="minorHAnsi"/>
          <w:sz w:val="24"/>
          <w:szCs w:val="24"/>
        </w:rPr>
        <w:t>of</w:t>
      </w:r>
      <w:proofErr w:type="spellEnd"/>
      <w:r w:rsidR="00B3585F">
        <w:rPr>
          <w:rFonts w:cstheme="minorHAnsi"/>
          <w:sz w:val="24"/>
          <w:szCs w:val="24"/>
        </w:rPr>
        <w:t xml:space="preserve"> </w:t>
      </w:r>
      <w:proofErr w:type="spellStart"/>
      <w:r w:rsidR="00B3585F">
        <w:rPr>
          <w:rFonts w:cstheme="minorHAnsi"/>
          <w:sz w:val="24"/>
          <w:szCs w:val="24"/>
        </w:rPr>
        <w:t>the</w:t>
      </w:r>
      <w:proofErr w:type="spellEnd"/>
      <w:r w:rsidR="00B3585F">
        <w:rPr>
          <w:rFonts w:cstheme="minorHAnsi"/>
          <w:sz w:val="24"/>
          <w:szCs w:val="24"/>
        </w:rPr>
        <w:t xml:space="preserve"> 2,</w:t>
      </w:r>
      <w:r>
        <w:rPr>
          <w:rFonts w:cstheme="minorHAnsi"/>
          <w:sz w:val="24"/>
          <w:szCs w:val="24"/>
        </w:rPr>
        <w:t xml:space="preserve">856 </w:t>
      </w:r>
      <w:proofErr w:type="spellStart"/>
      <w:r w:rsidR="00B3585F">
        <w:rPr>
          <w:rFonts w:cstheme="minorHAnsi"/>
          <w:sz w:val="24"/>
          <w:szCs w:val="24"/>
        </w:rPr>
        <w:t>cancer</w:t>
      </w:r>
      <w:proofErr w:type="spellEnd"/>
      <w:r w:rsidR="00B3585F">
        <w:rPr>
          <w:rFonts w:cstheme="minorHAnsi"/>
          <w:sz w:val="24"/>
          <w:szCs w:val="24"/>
        </w:rPr>
        <w:t xml:space="preserve"> </w:t>
      </w:r>
      <w:proofErr w:type="spellStart"/>
      <w:r w:rsidR="00B3585F">
        <w:rPr>
          <w:rFonts w:cstheme="minorHAnsi"/>
          <w:sz w:val="24"/>
          <w:szCs w:val="24"/>
        </w:rPr>
        <w:t>detected</w:t>
      </w:r>
      <w:proofErr w:type="spellEnd"/>
      <w:r>
        <w:rPr>
          <w:rFonts w:cstheme="minorHAnsi"/>
          <w:sz w:val="24"/>
          <w:szCs w:val="24"/>
        </w:rPr>
        <w:t xml:space="preserve">, 69,2% </w:t>
      </w:r>
      <w:proofErr w:type="spellStart"/>
      <w:r w:rsidR="00B3585F">
        <w:rPr>
          <w:rFonts w:cstheme="minorHAnsi"/>
          <w:sz w:val="24"/>
          <w:szCs w:val="24"/>
        </w:rPr>
        <w:t>were</w:t>
      </w:r>
      <w:proofErr w:type="spellEnd"/>
      <w:r w:rsidR="00B3585F">
        <w:rPr>
          <w:rFonts w:cstheme="minorHAnsi"/>
          <w:sz w:val="24"/>
          <w:szCs w:val="24"/>
        </w:rPr>
        <w:t xml:space="preserve"> </w:t>
      </w:r>
      <w:proofErr w:type="spellStart"/>
      <w:r w:rsidR="00B3585F">
        <w:rPr>
          <w:rFonts w:cstheme="minorHAnsi"/>
          <w:sz w:val="24"/>
          <w:szCs w:val="24"/>
        </w:rPr>
        <w:t>found</w:t>
      </w:r>
      <w:proofErr w:type="spellEnd"/>
      <w:r w:rsidR="00B3585F">
        <w:rPr>
          <w:rFonts w:cstheme="minorHAnsi"/>
          <w:sz w:val="24"/>
          <w:szCs w:val="24"/>
        </w:rPr>
        <w:t xml:space="preserve"> </w:t>
      </w:r>
      <w:proofErr w:type="spellStart"/>
      <w:r w:rsidR="00B3585F">
        <w:rPr>
          <w:rFonts w:cstheme="minorHAnsi"/>
          <w:sz w:val="24"/>
          <w:szCs w:val="24"/>
        </w:rPr>
        <w:t>in</w:t>
      </w:r>
      <w:proofErr w:type="spellEnd"/>
      <w:r w:rsidR="00B3585F">
        <w:rPr>
          <w:rFonts w:cstheme="minorHAnsi"/>
          <w:sz w:val="24"/>
          <w:szCs w:val="24"/>
        </w:rPr>
        <w:t xml:space="preserve"> </w:t>
      </w:r>
      <w:proofErr w:type="spellStart"/>
      <w:r w:rsidR="00B3585F">
        <w:rPr>
          <w:rFonts w:cstheme="minorHAnsi"/>
          <w:sz w:val="24"/>
          <w:szCs w:val="24"/>
        </w:rPr>
        <w:t>initial</w:t>
      </w:r>
      <w:proofErr w:type="spellEnd"/>
      <w:r w:rsidR="00B3585F">
        <w:rPr>
          <w:rFonts w:cstheme="minorHAnsi"/>
          <w:sz w:val="24"/>
          <w:szCs w:val="24"/>
        </w:rPr>
        <w:t xml:space="preserve"> </w:t>
      </w:r>
      <w:proofErr w:type="spellStart"/>
      <w:r w:rsidR="00B3585F">
        <w:rPr>
          <w:rFonts w:cstheme="minorHAnsi"/>
          <w:sz w:val="24"/>
          <w:szCs w:val="24"/>
        </w:rPr>
        <w:t>stages</w:t>
      </w:r>
      <w:proofErr w:type="spellEnd"/>
      <w:r>
        <w:rPr>
          <w:rFonts w:cstheme="minorHAnsi"/>
          <w:sz w:val="24"/>
          <w:szCs w:val="24"/>
        </w:rPr>
        <w:t xml:space="preserve">. </w:t>
      </w:r>
      <w:proofErr w:type="spellStart"/>
      <w:r w:rsidR="00B3585F">
        <w:rPr>
          <w:rFonts w:cstheme="minorHAnsi"/>
          <w:sz w:val="24"/>
          <w:szCs w:val="24"/>
        </w:rPr>
        <w:t>However</w:t>
      </w:r>
      <w:proofErr w:type="spellEnd"/>
      <w:r w:rsidR="00B3585F">
        <w:rPr>
          <w:rFonts w:cstheme="minorHAnsi"/>
          <w:sz w:val="24"/>
          <w:szCs w:val="24"/>
        </w:rPr>
        <w:t xml:space="preserve"> </w:t>
      </w:r>
      <w:r>
        <w:rPr>
          <w:rFonts w:cstheme="minorHAnsi"/>
          <w:sz w:val="24"/>
          <w:szCs w:val="24"/>
        </w:rPr>
        <w:t>377</w:t>
      </w:r>
      <w:r w:rsidR="00B3585F">
        <w:rPr>
          <w:rFonts w:cstheme="minorHAnsi"/>
          <w:sz w:val="24"/>
          <w:szCs w:val="24"/>
        </w:rPr>
        <w:t xml:space="preserve"> </w:t>
      </w:r>
      <w:proofErr w:type="spellStart"/>
      <w:r w:rsidR="00B3585F">
        <w:rPr>
          <w:rFonts w:cstheme="minorHAnsi"/>
          <w:sz w:val="24"/>
          <w:szCs w:val="24"/>
        </w:rPr>
        <w:t>cases</w:t>
      </w:r>
      <w:proofErr w:type="spellEnd"/>
      <w:r w:rsidR="00B3585F">
        <w:rPr>
          <w:rFonts w:cstheme="minorHAnsi"/>
          <w:sz w:val="24"/>
          <w:szCs w:val="24"/>
        </w:rPr>
        <w:t xml:space="preserve"> </w:t>
      </w:r>
      <w:proofErr w:type="spellStart"/>
      <w:r w:rsidR="00B3585F">
        <w:rPr>
          <w:rFonts w:cstheme="minorHAnsi"/>
          <w:sz w:val="24"/>
          <w:szCs w:val="24"/>
        </w:rPr>
        <w:t>were</w:t>
      </w:r>
      <w:proofErr w:type="spellEnd"/>
      <w:r w:rsidR="00B3585F">
        <w:rPr>
          <w:rFonts w:cstheme="minorHAnsi"/>
          <w:sz w:val="24"/>
          <w:szCs w:val="24"/>
        </w:rPr>
        <w:t xml:space="preserve"> </w:t>
      </w:r>
      <w:proofErr w:type="spellStart"/>
      <w:r w:rsidR="00B3585F">
        <w:rPr>
          <w:rFonts w:cstheme="minorHAnsi"/>
          <w:sz w:val="24"/>
          <w:szCs w:val="24"/>
        </w:rPr>
        <w:t>registered</w:t>
      </w:r>
      <w:proofErr w:type="spellEnd"/>
      <w:r w:rsidR="00B3585F">
        <w:rPr>
          <w:rFonts w:cstheme="minorHAnsi"/>
          <w:sz w:val="24"/>
          <w:szCs w:val="24"/>
        </w:rPr>
        <w:t xml:space="preserve"> as </w:t>
      </w:r>
      <w:proofErr w:type="spellStart"/>
      <w:r w:rsidR="00B3585F">
        <w:rPr>
          <w:rFonts w:cstheme="minorHAnsi"/>
          <w:sz w:val="24"/>
          <w:szCs w:val="24"/>
        </w:rPr>
        <w:t>false</w:t>
      </w:r>
      <w:proofErr w:type="spellEnd"/>
      <w:r w:rsidR="00B3585F">
        <w:rPr>
          <w:rFonts w:cstheme="minorHAnsi"/>
          <w:sz w:val="24"/>
          <w:szCs w:val="24"/>
        </w:rPr>
        <w:t xml:space="preserve"> </w:t>
      </w:r>
      <w:proofErr w:type="spellStart"/>
      <w:r w:rsidR="00B3585F">
        <w:rPr>
          <w:rFonts w:cstheme="minorHAnsi"/>
          <w:sz w:val="24"/>
          <w:szCs w:val="24"/>
        </w:rPr>
        <w:t>negative</w:t>
      </w:r>
      <w:proofErr w:type="spellEnd"/>
      <w:r w:rsidR="00B3585F">
        <w:rPr>
          <w:rFonts w:cstheme="minorHAnsi"/>
          <w:sz w:val="24"/>
          <w:szCs w:val="24"/>
        </w:rPr>
        <w:t xml:space="preserve"> </w:t>
      </w:r>
      <w:proofErr w:type="spellStart"/>
      <w:r w:rsidR="00B3585F">
        <w:rPr>
          <w:rFonts w:cstheme="minorHAnsi"/>
          <w:sz w:val="24"/>
          <w:szCs w:val="24"/>
        </w:rPr>
        <w:t>cases</w:t>
      </w:r>
      <w:proofErr w:type="spellEnd"/>
      <w:r w:rsidR="00B3585F">
        <w:rPr>
          <w:rFonts w:cstheme="minorHAnsi"/>
          <w:sz w:val="24"/>
          <w:szCs w:val="24"/>
        </w:rPr>
        <w:t xml:space="preserve">, </w:t>
      </w:r>
      <w:r>
        <w:rPr>
          <w:rFonts w:cstheme="minorHAnsi"/>
          <w:sz w:val="24"/>
          <w:szCs w:val="24"/>
        </w:rPr>
        <w:t xml:space="preserve">85 </w:t>
      </w:r>
      <w:proofErr w:type="spellStart"/>
      <w:r w:rsidR="00BD0075">
        <w:rPr>
          <w:rFonts w:cstheme="minorHAnsi"/>
          <w:sz w:val="24"/>
          <w:szCs w:val="24"/>
        </w:rPr>
        <w:t>of</w:t>
      </w:r>
      <w:proofErr w:type="spellEnd"/>
      <w:r w:rsidR="00BD0075">
        <w:rPr>
          <w:rFonts w:cstheme="minorHAnsi"/>
          <w:sz w:val="24"/>
          <w:szCs w:val="24"/>
        </w:rPr>
        <w:t xml:space="preserve"> </w:t>
      </w:r>
      <w:proofErr w:type="spellStart"/>
      <w:r w:rsidR="00BD0075">
        <w:rPr>
          <w:rFonts w:cstheme="minorHAnsi"/>
          <w:sz w:val="24"/>
          <w:szCs w:val="24"/>
        </w:rPr>
        <w:t>them</w:t>
      </w:r>
      <w:proofErr w:type="spellEnd"/>
      <w:r w:rsidR="00BD0075">
        <w:rPr>
          <w:rFonts w:cstheme="minorHAnsi"/>
          <w:sz w:val="24"/>
          <w:szCs w:val="24"/>
        </w:rPr>
        <w:t xml:space="preserve"> </w:t>
      </w:r>
      <w:proofErr w:type="spellStart"/>
      <w:r w:rsidR="00BD0075">
        <w:rPr>
          <w:rFonts w:cstheme="minorHAnsi"/>
          <w:sz w:val="24"/>
          <w:szCs w:val="24"/>
        </w:rPr>
        <w:t>in</w:t>
      </w:r>
      <w:proofErr w:type="spellEnd"/>
      <w:r w:rsidR="00BD0075">
        <w:rPr>
          <w:rFonts w:cstheme="minorHAnsi"/>
          <w:sz w:val="24"/>
          <w:szCs w:val="24"/>
        </w:rPr>
        <w:t xml:space="preserve"> more </w:t>
      </w:r>
      <w:proofErr w:type="spellStart"/>
      <w:r w:rsidR="00BD0075">
        <w:rPr>
          <w:rFonts w:cstheme="minorHAnsi"/>
          <w:sz w:val="24"/>
          <w:szCs w:val="24"/>
        </w:rPr>
        <w:t>than</w:t>
      </w:r>
      <w:proofErr w:type="spellEnd"/>
      <w:r w:rsidR="00BD0075">
        <w:rPr>
          <w:rFonts w:cstheme="minorHAnsi"/>
          <w:sz w:val="24"/>
          <w:szCs w:val="24"/>
        </w:rPr>
        <w:t xml:space="preserve"> 69</w:t>
      </w:r>
      <w:r>
        <w:rPr>
          <w:rFonts w:cstheme="minorHAnsi"/>
          <w:sz w:val="24"/>
          <w:szCs w:val="24"/>
        </w:rPr>
        <w:t xml:space="preserve"> </w:t>
      </w:r>
      <w:proofErr w:type="spellStart"/>
      <w:r w:rsidR="00BD0075">
        <w:rPr>
          <w:rFonts w:cstheme="minorHAnsi"/>
          <w:sz w:val="24"/>
          <w:szCs w:val="24"/>
        </w:rPr>
        <w:t>years</w:t>
      </w:r>
      <w:proofErr w:type="spellEnd"/>
      <w:r>
        <w:rPr>
          <w:rFonts w:cstheme="minorHAnsi"/>
          <w:sz w:val="24"/>
          <w:szCs w:val="24"/>
        </w:rPr>
        <w:t xml:space="preserve">. </w:t>
      </w:r>
      <w:proofErr w:type="spellStart"/>
      <w:r w:rsidR="00BD0075">
        <w:rPr>
          <w:rFonts w:cstheme="minorHAnsi"/>
          <w:sz w:val="24"/>
          <w:szCs w:val="24"/>
        </w:rPr>
        <w:t>Sensitivity</w:t>
      </w:r>
      <w:proofErr w:type="spellEnd"/>
      <w:r w:rsidR="00BD0075">
        <w:rPr>
          <w:rFonts w:cstheme="minorHAnsi"/>
          <w:sz w:val="24"/>
          <w:szCs w:val="24"/>
        </w:rPr>
        <w:t xml:space="preserve"> </w:t>
      </w:r>
      <w:proofErr w:type="spellStart"/>
      <w:r w:rsidR="00BD0075">
        <w:rPr>
          <w:rFonts w:cstheme="minorHAnsi"/>
          <w:sz w:val="24"/>
          <w:szCs w:val="24"/>
        </w:rPr>
        <w:t>for</w:t>
      </w:r>
      <w:proofErr w:type="spellEnd"/>
      <w:r w:rsidR="00BD0075">
        <w:rPr>
          <w:rFonts w:cstheme="minorHAnsi"/>
          <w:sz w:val="24"/>
          <w:szCs w:val="24"/>
        </w:rPr>
        <w:t xml:space="preserve"> FIT </w:t>
      </w:r>
      <w:proofErr w:type="spellStart"/>
      <w:r w:rsidR="00BD0075">
        <w:rPr>
          <w:rFonts w:cstheme="minorHAnsi"/>
          <w:sz w:val="24"/>
          <w:szCs w:val="24"/>
        </w:rPr>
        <w:t>was</w:t>
      </w:r>
      <w:proofErr w:type="spellEnd"/>
      <w:r>
        <w:rPr>
          <w:rFonts w:cstheme="minorHAnsi"/>
          <w:sz w:val="24"/>
          <w:szCs w:val="24"/>
        </w:rPr>
        <w:t xml:space="preserve"> </w:t>
      </w:r>
      <w:r w:rsidR="00BD0075">
        <w:rPr>
          <w:rFonts w:cstheme="minorHAnsi"/>
          <w:bCs/>
          <w:sz w:val="24"/>
          <w:szCs w:val="24"/>
        </w:rPr>
        <w:t>88.38 (IC95% 87.22-89.</w:t>
      </w:r>
      <w:r w:rsidRPr="0098274F">
        <w:rPr>
          <w:rFonts w:cstheme="minorHAnsi"/>
          <w:bCs/>
          <w:sz w:val="24"/>
          <w:szCs w:val="24"/>
        </w:rPr>
        <w:t>45</w:t>
      </w:r>
      <w:proofErr w:type="spellStart"/>
      <w:r w:rsidRPr="0098274F">
        <w:rPr>
          <w:rFonts w:cstheme="minorHAnsi"/>
          <w:bCs/>
          <w:sz w:val="24"/>
          <w:szCs w:val="24"/>
        </w:rPr>
        <w:t>),</w:t>
      </w:r>
      <w:r w:rsidR="00441402">
        <w:rPr>
          <w:rFonts w:cstheme="minorHAnsi"/>
          <w:bCs/>
          <w:sz w:val="24"/>
          <w:szCs w:val="24"/>
        </w:rPr>
        <w:t xml:space="preserve"> </w:t>
      </w:r>
      <w:r w:rsidR="00BD0075">
        <w:rPr>
          <w:rFonts w:cstheme="minorHAnsi"/>
          <w:bCs/>
          <w:sz w:val="24"/>
          <w:szCs w:val="24"/>
        </w:rPr>
        <w:t>wi</w:t>
      </w:r>
      <w:proofErr w:type="spellEnd"/>
      <w:r w:rsidR="00BD0075">
        <w:rPr>
          <w:rFonts w:cstheme="minorHAnsi"/>
          <w:bCs/>
          <w:sz w:val="24"/>
          <w:szCs w:val="24"/>
        </w:rPr>
        <w:t xml:space="preserve">th </w:t>
      </w:r>
      <w:r w:rsidR="00BD0075" w:rsidRPr="0098274F">
        <w:rPr>
          <w:rFonts w:cstheme="minorHAnsi"/>
          <w:bCs/>
          <w:sz w:val="24"/>
          <w:szCs w:val="24"/>
        </w:rPr>
        <w:t>99</w:t>
      </w:r>
      <w:r w:rsidR="00BD0075">
        <w:rPr>
          <w:rFonts w:cstheme="minorHAnsi"/>
          <w:bCs/>
          <w:sz w:val="24"/>
          <w:szCs w:val="24"/>
        </w:rPr>
        <w:t>.96 (IC 95% 99.95-99.</w:t>
      </w:r>
      <w:r w:rsidR="00BD0075" w:rsidRPr="0098274F">
        <w:rPr>
          <w:rFonts w:cstheme="minorHAnsi"/>
          <w:bCs/>
          <w:sz w:val="24"/>
          <w:szCs w:val="24"/>
        </w:rPr>
        <w:t>96)</w:t>
      </w:r>
      <w:r w:rsidR="00BD0075">
        <w:rPr>
          <w:rFonts w:cstheme="minorHAnsi"/>
          <w:bCs/>
          <w:sz w:val="24"/>
          <w:szCs w:val="24"/>
        </w:rPr>
        <w:t xml:space="preserve"> as a </w:t>
      </w:r>
      <w:proofErr w:type="spellStart"/>
      <w:r w:rsidR="00BD0075">
        <w:rPr>
          <w:rFonts w:cstheme="minorHAnsi"/>
          <w:bCs/>
          <w:sz w:val="24"/>
          <w:szCs w:val="24"/>
        </w:rPr>
        <w:t>negative</w:t>
      </w:r>
      <w:proofErr w:type="spellEnd"/>
      <w:r w:rsidR="00BD0075">
        <w:rPr>
          <w:rFonts w:cstheme="minorHAnsi"/>
          <w:bCs/>
          <w:sz w:val="24"/>
          <w:szCs w:val="24"/>
        </w:rPr>
        <w:t xml:space="preserve"> </w:t>
      </w:r>
      <w:proofErr w:type="spellStart"/>
      <w:r w:rsidR="00BD0075">
        <w:rPr>
          <w:rFonts w:cstheme="minorHAnsi"/>
          <w:bCs/>
          <w:sz w:val="24"/>
          <w:szCs w:val="24"/>
        </w:rPr>
        <w:t>predictive</w:t>
      </w:r>
      <w:proofErr w:type="spellEnd"/>
      <w:r w:rsidR="00BD0075">
        <w:rPr>
          <w:rFonts w:cstheme="minorHAnsi"/>
          <w:bCs/>
          <w:sz w:val="24"/>
          <w:szCs w:val="24"/>
        </w:rPr>
        <w:t xml:space="preserve"> </w:t>
      </w:r>
      <w:proofErr w:type="spellStart"/>
      <w:r w:rsidR="00BD0075">
        <w:rPr>
          <w:rFonts w:cstheme="minorHAnsi"/>
          <w:bCs/>
          <w:sz w:val="24"/>
          <w:szCs w:val="24"/>
        </w:rPr>
        <w:t>value</w:t>
      </w:r>
      <w:proofErr w:type="spellEnd"/>
      <w:r w:rsidR="00BD0075">
        <w:rPr>
          <w:rFonts w:cstheme="minorHAnsi"/>
          <w:bCs/>
          <w:sz w:val="24"/>
          <w:szCs w:val="24"/>
        </w:rPr>
        <w:t>.</w:t>
      </w:r>
      <w:r>
        <w:rPr>
          <w:rFonts w:cstheme="minorHAnsi"/>
          <w:bCs/>
          <w:sz w:val="24"/>
          <w:szCs w:val="24"/>
        </w:rPr>
        <w:t xml:space="preserve"> </w:t>
      </w:r>
      <w:proofErr w:type="spellStart"/>
      <w:r w:rsidR="00BD0075">
        <w:rPr>
          <w:rFonts w:cstheme="minorHAnsi"/>
          <w:bCs/>
          <w:sz w:val="24"/>
          <w:szCs w:val="24"/>
        </w:rPr>
        <w:t>Survival</w:t>
      </w:r>
      <w:proofErr w:type="spellEnd"/>
      <w:r w:rsidR="00BD0075">
        <w:rPr>
          <w:rFonts w:cstheme="minorHAnsi"/>
          <w:bCs/>
          <w:sz w:val="24"/>
          <w:szCs w:val="24"/>
        </w:rPr>
        <w:t xml:space="preserve"> </w:t>
      </w:r>
      <w:proofErr w:type="spellStart"/>
      <w:r w:rsidR="00BD0075">
        <w:rPr>
          <w:rFonts w:cstheme="minorHAnsi"/>
          <w:bCs/>
          <w:sz w:val="24"/>
          <w:szCs w:val="24"/>
        </w:rPr>
        <w:t>of</w:t>
      </w:r>
      <w:proofErr w:type="spellEnd"/>
      <w:r w:rsidR="00BD0075">
        <w:rPr>
          <w:rFonts w:cstheme="minorHAnsi"/>
          <w:bCs/>
          <w:sz w:val="24"/>
          <w:szCs w:val="24"/>
        </w:rPr>
        <w:t xml:space="preserve"> </w:t>
      </w:r>
      <w:proofErr w:type="spellStart"/>
      <w:r w:rsidR="00BD0075">
        <w:rPr>
          <w:rFonts w:cstheme="minorHAnsi"/>
          <w:bCs/>
          <w:sz w:val="24"/>
          <w:szCs w:val="24"/>
        </w:rPr>
        <w:t>the</w:t>
      </w:r>
      <w:proofErr w:type="spellEnd"/>
      <w:r w:rsidR="00BD0075">
        <w:rPr>
          <w:rFonts w:cstheme="minorHAnsi"/>
          <w:bCs/>
          <w:sz w:val="24"/>
          <w:szCs w:val="24"/>
        </w:rPr>
        <w:t xml:space="preserve"> </w:t>
      </w:r>
      <w:proofErr w:type="spellStart"/>
      <w:r w:rsidR="00BD0075">
        <w:rPr>
          <w:rFonts w:cstheme="minorHAnsi"/>
          <w:bCs/>
          <w:sz w:val="24"/>
          <w:szCs w:val="24"/>
        </w:rPr>
        <w:t>people</w:t>
      </w:r>
      <w:proofErr w:type="spellEnd"/>
      <w:r w:rsidR="00BD0075">
        <w:rPr>
          <w:rFonts w:cstheme="minorHAnsi"/>
          <w:bCs/>
          <w:sz w:val="24"/>
          <w:szCs w:val="24"/>
        </w:rPr>
        <w:t xml:space="preserve"> </w:t>
      </w:r>
      <w:proofErr w:type="spellStart"/>
      <w:r w:rsidR="00BD0075">
        <w:rPr>
          <w:rFonts w:cstheme="minorHAnsi"/>
          <w:bCs/>
          <w:sz w:val="24"/>
          <w:szCs w:val="24"/>
        </w:rPr>
        <w:t>with</w:t>
      </w:r>
      <w:proofErr w:type="spellEnd"/>
      <w:r w:rsidR="00BD0075">
        <w:rPr>
          <w:rFonts w:cstheme="minorHAnsi"/>
          <w:bCs/>
          <w:sz w:val="24"/>
          <w:szCs w:val="24"/>
        </w:rPr>
        <w:t xml:space="preserve"> </w:t>
      </w:r>
      <w:proofErr w:type="spellStart"/>
      <w:r w:rsidR="00BD0075">
        <w:rPr>
          <w:rFonts w:cstheme="minorHAnsi"/>
          <w:bCs/>
          <w:sz w:val="24"/>
          <w:szCs w:val="24"/>
        </w:rPr>
        <w:t>cancer</w:t>
      </w:r>
      <w:proofErr w:type="spellEnd"/>
      <w:r w:rsidR="00BD0075">
        <w:rPr>
          <w:rFonts w:cstheme="minorHAnsi"/>
          <w:bCs/>
          <w:sz w:val="24"/>
          <w:szCs w:val="24"/>
        </w:rPr>
        <w:t xml:space="preserve"> </w:t>
      </w:r>
      <w:proofErr w:type="spellStart"/>
      <w:r w:rsidR="00BD0075">
        <w:rPr>
          <w:rFonts w:cstheme="minorHAnsi"/>
          <w:bCs/>
          <w:sz w:val="24"/>
          <w:szCs w:val="24"/>
        </w:rPr>
        <w:t>detected</w:t>
      </w:r>
      <w:proofErr w:type="spellEnd"/>
      <w:r w:rsidR="00BD0075">
        <w:rPr>
          <w:rFonts w:cstheme="minorHAnsi"/>
          <w:bCs/>
          <w:sz w:val="24"/>
          <w:szCs w:val="24"/>
        </w:rPr>
        <w:t xml:space="preserve"> </w:t>
      </w:r>
      <w:proofErr w:type="spellStart"/>
      <w:r w:rsidR="00BD0075">
        <w:rPr>
          <w:rFonts w:cstheme="minorHAnsi"/>
          <w:bCs/>
          <w:sz w:val="24"/>
          <w:szCs w:val="24"/>
        </w:rPr>
        <w:t>by</w:t>
      </w:r>
      <w:proofErr w:type="spellEnd"/>
      <w:r w:rsidR="00BD0075">
        <w:rPr>
          <w:rFonts w:cstheme="minorHAnsi"/>
          <w:bCs/>
          <w:sz w:val="24"/>
          <w:szCs w:val="24"/>
        </w:rPr>
        <w:t xml:space="preserve"> </w:t>
      </w:r>
      <w:proofErr w:type="spellStart"/>
      <w:r w:rsidR="00BD0075">
        <w:rPr>
          <w:rFonts w:cstheme="minorHAnsi"/>
          <w:bCs/>
          <w:sz w:val="24"/>
          <w:szCs w:val="24"/>
        </w:rPr>
        <w:t>the</w:t>
      </w:r>
      <w:proofErr w:type="spellEnd"/>
      <w:r w:rsidR="00BD0075">
        <w:rPr>
          <w:rFonts w:cstheme="minorHAnsi"/>
          <w:bCs/>
          <w:sz w:val="24"/>
          <w:szCs w:val="24"/>
        </w:rPr>
        <w:t xml:space="preserve"> </w:t>
      </w:r>
      <w:proofErr w:type="spellStart"/>
      <w:r w:rsidR="00BD0075">
        <w:rPr>
          <w:rFonts w:cstheme="minorHAnsi"/>
          <w:bCs/>
          <w:sz w:val="24"/>
          <w:szCs w:val="24"/>
        </w:rPr>
        <w:t>programme</w:t>
      </w:r>
      <w:proofErr w:type="spellEnd"/>
      <w:r w:rsidR="00BD0075">
        <w:rPr>
          <w:rFonts w:cstheme="minorHAnsi"/>
          <w:bCs/>
          <w:sz w:val="24"/>
          <w:szCs w:val="24"/>
        </w:rPr>
        <w:t xml:space="preserve"> at</w:t>
      </w:r>
      <w:r>
        <w:rPr>
          <w:rFonts w:cstheme="minorHAnsi"/>
          <w:bCs/>
          <w:sz w:val="24"/>
          <w:szCs w:val="24"/>
        </w:rPr>
        <w:t xml:space="preserve"> 1,3 y 5 </w:t>
      </w:r>
      <w:proofErr w:type="spellStart"/>
      <w:r w:rsidR="00BD0075">
        <w:rPr>
          <w:rFonts w:cstheme="minorHAnsi"/>
          <w:bCs/>
          <w:sz w:val="24"/>
          <w:szCs w:val="24"/>
        </w:rPr>
        <w:t>years</w:t>
      </w:r>
      <w:proofErr w:type="spellEnd"/>
      <w:r w:rsidR="00BD0075">
        <w:rPr>
          <w:rFonts w:cstheme="minorHAnsi"/>
          <w:bCs/>
          <w:sz w:val="24"/>
          <w:szCs w:val="24"/>
        </w:rPr>
        <w:t xml:space="preserve">  </w:t>
      </w:r>
      <w:proofErr w:type="spellStart"/>
      <w:r w:rsidR="00BD0075">
        <w:rPr>
          <w:rFonts w:cstheme="minorHAnsi"/>
          <w:bCs/>
          <w:sz w:val="24"/>
          <w:szCs w:val="24"/>
        </w:rPr>
        <w:t>was</w:t>
      </w:r>
      <w:proofErr w:type="spellEnd"/>
      <w:r w:rsidR="00BD0075">
        <w:rPr>
          <w:rFonts w:cstheme="minorHAnsi"/>
          <w:bCs/>
          <w:sz w:val="24"/>
          <w:szCs w:val="24"/>
        </w:rPr>
        <w:t xml:space="preserve"> </w:t>
      </w:r>
      <w:proofErr w:type="spellStart"/>
      <w:r w:rsidR="00BD0075">
        <w:rPr>
          <w:rFonts w:cstheme="minorHAnsi"/>
          <w:bCs/>
          <w:sz w:val="24"/>
          <w:szCs w:val="24"/>
        </w:rPr>
        <w:t>significant</w:t>
      </w:r>
      <w:proofErr w:type="spellEnd"/>
      <w:r w:rsidR="00BD0075">
        <w:rPr>
          <w:rFonts w:cstheme="minorHAnsi"/>
          <w:bCs/>
          <w:sz w:val="24"/>
          <w:szCs w:val="24"/>
        </w:rPr>
        <w:t xml:space="preserve"> </w:t>
      </w:r>
      <w:proofErr w:type="spellStart"/>
      <w:r w:rsidR="00BD0075">
        <w:rPr>
          <w:rFonts w:cstheme="minorHAnsi"/>
          <w:bCs/>
          <w:sz w:val="24"/>
          <w:szCs w:val="24"/>
        </w:rPr>
        <w:t>higher</w:t>
      </w:r>
      <w:proofErr w:type="spellEnd"/>
      <w:r w:rsidR="00BD0075">
        <w:rPr>
          <w:rFonts w:cstheme="minorHAnsi"/>
          <w:bCs/>
          <w:sz w:val="24"/>
          <w:szCs w:val="24"/>
        </w:rPr>
        <w:t xml:space="preserve"> </w:t>
      </w:r>
      <w:proofErr w:type="spellStart"/>
      <w:r w:rsidR="00BD0075">
        <w:rPr>
          <w:rFonts w:cstheme="minorHAnsi"/>
          <w:bCs/>
          <w:sz w:val="24"/>
          <w:szCs w:val="24"/>
        </w:rPr>
        <w:t>than</w:t>
      </w:r>
      <w:proofErr w:type="spellEnd"/>
      <w:r w:rsidR="00BD0075">
        <w:rPr>
          <w:rFonts w:cstheme="minorHAnsi"/>
          <w:bCs/>
          <w:sz w:val="24"/>
          <w:szCs w:val="24"/>
        </w:rPr>
        <w:t xml:space="preserve"> </w:t>
      </w:r>
      <w:proofErr w:type="spellStart"/>
      <w:r w:rsidR="00BD0075">
        <w:rPr>
          <w:rFonts w:cstheme="minorHAnsi"/>
          <w:bCs/>
          <w:sz w:val="24"/>
          <w:szCs w:val="24"/>
        </w:rPr>
        <w:t>the</w:t>
      </w:r>
      <w:proofErr w:type="spellEnd"/>
      <w:r w:rsidR="00BD0075">
        <w:rPr>
          <w:rFonts w:cstheme="minorHAnsi"/>
          <w:bCs/>
          <w:sz w:val="24"/>
          <w:szCs w:val="24"/>
        </w:rPr>
        <w:t xml:space="preserve"> </w:t>
      </w:r>
      <w:proofErr w:type="spellStart"/>
      <w:r w:rsidR="00BD0075">
        <w:rPr>
          <w:rFonts w:cstheme="minorHAnsi"/>
          <w:bCs/>
          <w:sz w:val="24"/>
          <w:szCs w:val="24"/>
        </w:rPr>
        <w:t>people</w:t>
      </w:r>
      <w:proofErr w:type="spellEnd"/>
      <w:r w:rsidR="00BD0075">
        <w:rPr>
          <w:rFonts w:cstheme="minorHAnsi"/>
          <w:bCs/>
          <w:sz w:val="24"/>
          <w:szCs w:val="24"/>
        </w:rPr>
        <w:t xml:space="preserve"> </w:t>
      </w:r>
      <w:proofErr w:type="spellStart"/>
      <w:r w:rsidR="00BD0075">
        <w:rPr>
          <w:rFonts w:cstheme="minorHAnsi"/>
          <w:bCs/>
          <w:sz w:val="24"/>
          <w:szCs w:val="24"/>
        </w:rPr>
        <w:t>who</w:t>
      </w:r>
      <w:proofErr w:type="spellEnd"/>
      <w:r w:rsidR="00BD0075">
        <w:rPr>
          <w:rFonts w:cstheme="minorHAnsi"/>
          <w:bCs/>
          <w:sz w:val="24"/>
          <w:szCs w:val="24"/>
        </w:rPr>
        <w:t xml:space="preserve"> </w:t>
      </w:r>
      <w:proofErr w:type="spellStart"/>
      <w:r w:rsidR="00BD0075">
        <w:rPr>
          <w:rFonts w:cstheme="minorHAnsi"/>
          <w:bCs/>
          <w:sz w:val="24"/>
          <w:szCs w:val="24"/>
        </w:rPr>
        <w:t>had</w:t>
      </w:r>
      <w:proofErr w:type="spellEnd"/>
      <w:r w:rsidR="00BD0075">
        <w:rPr>
          <w:rFonts w:cstheme="minorHAnsi"/>
          <w:bCs/>
          <w:sz w:val="24"/>
          <w:szCs w:val="24"/>
        </w:rPr>
        <w:t xml:space="preserve"> </w:t>
      </w:r>
      <w:proofErr w:type="spellStart"/>
      <w:r w:rsidR="00BD0075">
        <w:rPr>
          <w:rFonts w:cstheme="minorHAnsi"/>
          <w:bCs/>
          <w:sz w:val="24"/>
          <w:szCs w:val="24"/>
        </w:rPr>
        <w:t>cancers</w:t>
      </w:r>
      <w:proofErr w:type="spellEnd"/>
      <w:r w:rsidR="00BD0075">
        <w:rPr>
          <w:rFonts w:cstheme="minorHAnsi"/>
          <w:bCs/>
          <w:sz w:val="24"/>
          <w:szCs w:val="24"/>
        </w:rPr>
        <w:t xml:space="preserve"> </w:t>
      </w:r>
      <w:proofErr w:type="spellStart"/>
      <w:r w:rsidR="00BD0075">
        <w:rPr>
          <w:rFonts w:cstheme="minorHAnsi"/>
          <w:bCs/>
          <w:sz w:val="24"/>
          <w:szCs w:val="24"/>
        </w:rPr>
        <w:t>detected</w:t>
      </w:r>
      <w:proofErr w:type="spellEnd"/>
      <w:r w:rsidR="00BD0075">
        <w:rPr>
          <w:rFonts w:cstheme="minorHAnsi"/>
          <w:bCs/>
          <w:sz w:val="24"/>
          <w:szCs w:val="24"/>
        </w:rPr>
        <w:t xml:space="preserve"> </w:t>
      </w:r>
      <w:proofErr w:type="spellStart"/>
      <w:r w:rsidR="00BD0075">
        <w:rPr>
          <w:rFonts w:cstheme="minorHAnsi"/>
          <w:bCs/>
          <w:sz w:val="24"/>
          <w:szCs w:val="24"/>
        </w:rPr>
        <w:t>out</w:t>
      </w:r>
      <w:proofErr w:type="spellEnd"/>
      <w:r w:rsidR="00BD0075">
        <w:rPr>
          <w:rFonts w:cstheme="minorHAnsi"/>
          <w:bCs/>
          <w:sz w:val="24"/>
          <w:szCs w:val="24"/>
        </w:rPr>
        <w:t xml:space="preserve"> </w:t>
      </w:r>
      <w:proofErr w:type="spellStart"/>
      <w:r w:rsidR="00BD0075">
        <w:rPr>
          <w:rFonts w:cstheme="minorHAnsi"/>
          <w:bCs/>
          <w:sz w:val="24"/>
          <w:szCs w:val="24"/>
        </w:rPr>
        <w:t>of</w:t>
      </w:r>
      <w:proofErr w:type="spellEnd"/>
      <w:r w:rsidR="00BD0075">
        <w:rPr>
          <w:rFonts w:cstheme="minorHAnsi"/>
          <w:bCs/>
          <w:sz w:val="24"/>
          <w:szCs w:val="24"/>
        </w:rPr>
        <w:t xml:space="preserve"> </w:t>
      </w:r>
      <w:proofErr w:type="spellStart"/>
      <w:r w:rsidR="00BD0075">
        <w:rPr>
          <w:rFonts w:cstheme="minorHAnsi"/>
          <w:bCs/>
          <w:sz w:val="24"/>
          <w:szCs w:val="24"/>
        </w:rPr>
        <w:t>th</w:t>
      </w:r>
      <w:r w:rsidR="00CD30D8">
        <w:rPr>
          <w:rFonts w:cstheme="minorHAnsi"/>
          <w:bCs/>
          <w:sz w:val="24"/>
          <w:szCs w:val="24"/>
        </w:rPr>
        <w:t>e</w:t>
      </w:r>
      <w:proofErr w:type="spellEnd"/>
      <w:r w:rsidR="00CD30D8">
        <w:rPr>
          <w:rFonts w:cstheme="minorHAnsi"/>
          <w:bCs/>
          <w:sz w:val="24"/>
          <w:szCs w:val="24"/>
        </w:rPr>
        <w:t xml:space="preserve"> </w:t>
      </w:r>
      <w:proofErr w:type="spellStart"/>
      <w:r w:rsidR="00CD30D8">
        <w:rPr>
          <w:rFonts w:cstheme="minorHAnsi"/>
          <w:bCs/>
          <w:sz w:val="24"/>
          <w:szCs w:val="24"/>
        </w:rPr>
        <w:t>programme</w:t>
      </w:r>
      <w:proofErr w:type="spellEnd"/>
      <w:r w:rsidR="00CD30D8">
        <w:rPr>
          <w:rFonts w:cstheme="minorHAnsi"/>
          <w:bCs/>
          <w:sz w:val="24"/>
          <w:szCs w:val="24"/>
        </w:rPr>
        <w:t xml:space="preserve"> or </w:t>
      </w:r>
      <w:proofErr w:type="spellStart"/>
      <w:r w:rsidR="00CD30D8">
        <w:rPr>
          <w:rFonts w:cstheme="minorHAnsi"/>
          <w:bCs/>
          <w:sz w:val="24"/>
          <w:szCs w:val="24"/>
        </w:rPr>
        <w:t>sym</w:t>
      </w:r>
      <w:r w:rsidR="00441402">
        <w:rPr>
          <w:rFonts w:cstheme="minorHAnsi"/>
          <w:bCs/>
          <w:sz w:val="24"/>
          <w:szCs w:val="24"/>
        </w:rPr>
        <w:t>p</w:t>
      </w:r>
      <w:r w:rsidR="00CD30D8">
        <w:rPr>
          <w:rFonts w:cstheme="minorHAnsi"/>
          <w:bCs/>
          <w:sz w:val="24"/>
          <w:szCs w:val="24"/>
        </w:rPr>
        <w:t>tomatic</w:t>
      </w:r>
      <w:proofErr w:type="spellEnd"/>
      <w:r w:rsidR="00CD30D8">
        <w:rPr>
          <w:rFonts w:cstheme="minorHAnsi"/>
          <w:bCs/>
          <w:sz w:val="24"/>
          <w:szCs w:val="24"/>
        </w:rPr>
        <w:t xml:space="preserve"> </w:t>
      </w:r>
      <w:proofErr w:type="spellStart"/>
      <w:r w:rsidR="00CD30D8">
        <w:rPr>
          <w:rFonts w:cstheme="minorHAnsi"/>
          <w:bCs/>
          <w:sz w:val="24"/>
          <w:szCs w:val="24"/>
        </w:rPr>
        <w:t>cases</w:t>
      </w:r>
      <w:proofErr w:type="spellEnd"/>
      <w:r>
        <w:rPr>
          <w:rFonts w:cstheme="minorHAnsi"/>
          <w:bCs/>
          <w:sz w:val="24"/>
          <w:szCs w:val="24"/>
        </w:rPr>
        <w:t xml:space="preserve"> (</w:t>
      </w:r>
      <w:r w:rsidR="00CD30D8">
        <w:rPr>
          <w:rFonts w:cstheme="minorHAnsi"/>
          <w:bCs/>
          <w:sz w:val="24"/>
          <w:szCs w:val="24"/>
        </w:rPr>
        <w:t>97.8% vs 87.4</w:t>
      </w:r>
      <w:proofErr w:type="spellStart"/>
      <w:r w:rsidR="00CD30D8">
        <w:rPr>
          <w:rFonts w:cstheme="minorHAnsi"/>
          <w:bCs/>
          <w:sz w:val="24"/>
          <w:szCs w:val="24"/>
        </w:rPr>
        <w:t xml:space="preserve">%, </w:t>
      </w:r>
      <w:proofErr w:type="spellEnd"/>
      <w:r w:rsidR="00CD30D8">
        <w:rPr>
          <w:rFonts w:cstheme="minorHAnsi"/>
          <w:bCs/>
          <w:sz w:val="24"/>
          <w:szCs w:val="24"/>
        </w:rPr>
        <w:t>93.4% vs 73.0 y 90.1% vs 66.</w:t>
      </w:r>
      <w:r>
        <w:rPr>
          <w:rFonts w:cstheme="minorHAnsi"/>
          <w:bCs/>
          <w:sz w:val="24"/>
          <w:szCs w:val="24"/>
        </w:rPr>
        <w:t xml:space="preserve">7% </w:t>
      </w:r>
      <w:proofErr w:type="spellStart"/>
      <w:r>
        <w:rPr>
          <w:rFonts w:cstheme="minorHAnsi"/>
          <w:bCs/>
          <w:sz w:val="24"/>
          <w:szCs w:val="24"/>
        </w:rPr>
        <w:t>respecti</w:t>
      </w:r>
      <w:r w:rsidR="00CD30D8">
        <w:rPr>
          <w:rFonts w:cstheme="minorHAnsi"/>
          <w:bCs/>
          <w:sz w:val="24"/>
          <w:szCs w:val="24"/>
        </w:rPr>
        <w:t>velly</w:t>
      </w:r>
      <w:proofErr w:type="spellEnd"/>
      <w:r w:rsidR="00CD30D8">
        <w:rPr>
          <w:rFonts w:cstheme="minorHAnsi"/>
          <w:bCs/>
          <w:sz w:val="24"/>
          <w:szCs w:val="24"/>
        </w:rPr>
        <w:t>)</w:t>
      </w:r>
      <w:r>
        <w:rPr>
          <w:rFonts w:cstheme="minorHAnsi"/>
          <w:bCs/>
          <w:sz w:val="24"/>
          <w:szCs w:val="24"/>
        </w:rPr>
        <w:t xml:space="preserve">. </w:t>
      </w:r>
      <w:proofErr w:type="spellStart"/>
      <w:r>
        <w:rPr>
          <w:rFonts w:cstheme="minorHAnsi"/>
          <w:b/>
          <w:bCs/>
          <w:sz w:val="24"/>
          <w:szCs w:val="24"/>
        </w:rPr>
        <w:t>Conclusions</w:t>
      </w:r>
      <w:proofErr w:type="spellEnd"/>
      <w:r>
        <w:rPr>
          <w:rFonts w:cstheme="minorHAnsi"/>
          <w:b/>
          <w:bCs/>
          <w:sz w:val="24"/>
          <w:szCs w:val="24"/>
        </w:rPr>
        <w:t xml:space="preserve">: </w:t>
      </w:r>
      <w:r w:rsidR="00CD30D8">
        <w:rPr>
          <w:rFonts w:cstheme="minorHAnsi"/>
          <w:b/>
          <w:bCs/>
          <w:sz w:val="24"/>
          <w:szCs w:val="24"/>
        </w:rPr>
        <w:t xml:space="preserve"> </w:t>
      </w:r>
      <w:proofErr w:type="spellStart"/>
      <w:r w:rsidR="00CD30D8">
        <w:rPr>
          <w:rFonts w:cstheme="minorHAnsi"/>
          <w:bCs/>
          <w:sz w:val="24"/>
          <w:szCs w:val="24"/>
        </w:rPr>
        <w:t>The</w:t>
      </w:r>
      <w:proofErr w:type="spellEnd"/>
      <w:r w:rsidR="00CD30D8">
        <w:rPr>
          <w:rFonts w:cstheme="minorHAnsi"/>
          <w:bCs/>
          <w:sz w:val="24"/>
          <w:szCs w:val="24"/>
        </w:rPr>
        <w:t xml:space="preserve"> </w:t>
      </w:r>
      <w:proofErr w:type="spellStart"/>
      <w:r w:rsidR="00CD30D8">
        <w:rPr>
          <w:rFonts w:cstheme="minorHAnsi"/>
          <w:bCs/>
          <w:sz w:val="24"/>
          <w:szCs w:val="24"/>
        </w:rPr>
        <w:t>programme</w:t>
      </w:r>
      <w:proofErr w:type="spellEnd"/>
      <w:r w:rsidR="00CD30D8">
        <w:rPr>
          <w:rFonts w:cstheme="minorHAnsi"/>
          <w:bCs/>
          <w:sz w:val="24"/>
          <w:szCs w:val="24"/>
        </w:rPr>
        <w:t xml:space="preserve"> </w:t>
      </w:r>
      <w:proofErr w:type="spellStart"/>
      <w:r w:rsidR="00CD30D8">
        <w:rPr>
          <w:rFonts w:cstheme="minorHAnsi"/>
          <w:bCs/>
          <w:sz w:val="24"/>
          <w:szCs w:val="24"/>
        </w:rPr>
        <w:t>is</w:t>
      </w:r>
      <w:proofErr w:type="spellEnd"/>
      <w:r w:rsidR="00CD30D8">
        <w:rPr>
          <w:rFonts w:cstheme="minorHAnsi"/>
          <w:bCs/>
          <w:sz w:val="24"/>
          <w:szCs w:val="24"/>
        </w:rPr>
        <w:t xml:space="preserve"> </w:t>
      </w:r>
      <w:proofErr w:type="spellStart"/>
      <w:r w:rsidR="00CD30D8">
        <w:rPr>
          <w:rFonts w:cstheme="minorHAnsi"/>
          <w:bCs/>
          <w:sz w:val="24"/>
          <w:szCs w:val="24"/>
        </w:rPr>
        <w:t>showing</w:t>
      </w:r>
      <w:proofErr w:type="spellEnd"/>
      <w:r w:rsidR="00CD30D8">
        <w:rPr>
          <w:rFonts w:cstheme="minorHAnsi"/>
          <w:bCs/>
          <w:sz w:val="24"/>
          <w:szCs w:val="24"/>
        </w:rPr>
        <w:t xml:space="preserve"> a </w:t>
      </w:r>
      <w:proofErr w:type="spellStart"/>
      <w:r w:rsidR="00CD30D8">
        <w:rPr>
          <w:rFonts w:cstheme="minorHAnsi"/>
          <w:bCs/>
          <w:sz w:val="24"/>
          <w:szCs w:val="24"/>
        </w:rPr>
        <w:t>positive</w:t>
      </w:r>
      <w:proofErr w:type="spellEnd"/>
      <w:r w:rsidR="00CD30D8">
        <w:rPr>
          <w:rFonts w:cstheme="minorHAnsi"/>
          <w:bCs/>
          <w:sz w:val="24"/>
          <w:szCs w:val="24"/>
        </w:rPr>
        <w:t xml:space="preserve"> </w:t>
      </w:r>
      <w:proofErr w:type="spellStart"/>
      <w:r w:rsidR="00CD30D8">
        <w:rPr>
          <w:rFonts w:cstheme="minorHAnsi"/>
          <w:bCs/>
          <w:sz w:val="24"/>
          <w:szCs w:val="24"/>
        </w:rPr>
        <w:t>balance</w:t>
      </w:r>
      <w:proofErr w:type="spellEnd"/>
      <w:r w:rsidR="00CD30D8">
        <w:rPr>
          <w:rFonts w:cstheme="minorHAnsi"/>
          <w:bCs/>
          <w:sz w:val="24"/>
          <w:szCs w:val="24"/>
        </w:rPr>
        <w:t xml:space="preserve"> </w:t>
      </w:r>
      <w:proofErr w:type="spellStart"/>
      <w:r w:rsidR="00CD30D8">
        <w:rPr>
          <w:rFonts w:cstheme="minorHAnsi"/>
          <w:bCs/>
          <w:sz w:val="24"/>
          <w:szCs w:val="24"/>
        </w:rPr>
        <w:t>in</w:t>
      </w:r>
      <w:proofErr w:type="spellEnd"/>
      <w:r w:rsidR="00CD30D8">
        <w:rPr>
          <w:rFonts w:cstheme="minorHAnsi"/>
          <w:bCs/>
          <w:sz w:val="24"/>
          <w:szCs w:val="24"/>
        </w:rPr>
        <w:t xml:space="preserve"> </w:t>
      </w:r>
      <w:proofErr w:type="spellStart"/>
      <w:r w:rsidR="00CD30D8">
        <w:rPr>
          <w:rFonts w:cstheme="minorHAnsi"/>
          <w:bCs/>
          <w:sz w:val="24"/>
          <w:szCs w:val="24"/>
        </w:rPr>
        <w:t>benefits</w:t>
      </w:r>
      <w:proofErr w:type="spellEnd"/>
      <w:r w:rsidR="00441402">
        <w:rPr>
          <w:rFonts w:cstheme="minorHAnsi"/>
          <w:bCs/>
          <w:sz w:val="24"/>
          <w:szCs w:val="24"/>
        </w:rPr>
        <w:t xml:space="preserve"> </w:t>
      </w:r>
      <w:proofErr w:type="spellStart"/>
      <w:r w:rsidR="00441402">
        <w:rPr>
          <w:rFonts w:cstheme="minorHAnsi"/>
          <w:bCs/>
          <w:sz w:val="24"/>
          <w:szCs w:val="24"/>
        </w:rPr>
        <w:t>respect</w:t>
      </w:r>
      <w:proofErr w:type="spellEnd"/>
      <w:r w:rsidR="00441402">
        <w:rPr>
          <w:rFonts w:cstheme="minorHAnsi"/>
          <w:bCs/>
          <w:sz w:val="24"/>
          <w:szCs w:val="24"/>
        </w:rPr>
        <w:t xml:space="preserve"> </w:t>
      </w:r>
      <w:proofErr w:type="spellStart"/>
      <w:r w:rsidR="00441402">
        <w:rPr>
          <w:rFonts w:cstheme="minorHAnsi"/>
          <w:bCs/>
          <w:sz w:val="24"/>
          <w:szCs w:val="24"/>
        </w:rPr>
        <w:t>negative</w:t>
      </w:r>
      <w:proofErr w:type="spellEnd"/>
      <w:r w:rsidR="00441402">
        <w:rPr>
          <w:rFonts w:cstheme="minorHAnsi"/>
          <w:bCs/>
          <w:sz w:val="24"/>
          <w:szCs w:val="24"/>
        </w:rPr>
        <w:t xml:space="preserve"> </w:t>
      </w:r>
      <w:proofErr w:type="spellStart"/>
      <w:r w:rsidR="00441402">
        <w:rPr>
          <w:rFonts w:cstheme="minorHAnsi"/>
          <w:bCs/>
          <w:sz w:val="24"/>
          <w:szCs w:val="24"/>
        </w:rPr>
        <w:t>effects</w:t>
      </w:r>
      <w:proofErr w:type="spellEnd"/>
      <w:r w:rsidR="00CD30D8">
        <w:rPr>
          <w:rFonts w:cstheme="minorHAnsi"/>
          <w:bCs/>
          <w:sz w:val="24"/>
          <w:szCs w:val="24"/>
        </w:rPr>
        <w:t xml:space="preserve">, </w:t>
      </w:r>
      <w:proofErr w:type="spellStart"/>
      <w:r w:rsidR="00CD30D8">
        <w:rPr>
          <w:rFonts w:cstheme="minorHAnsi"/>
          <w:bCs/>
          <w:sz w:val="24"/>
          <w:szCs w:val="24"/>
        </w:rPr>
        <w:t>but</w:t>
      </w:r>
      <w:proofErr w:type="spellEnd"/>
      <w:r w:rsidR="00CD30D8">
        <w:rPr>
          <w:rFonts w:cstheme="minorHAnsi"/>
          <w:bCs/>
          <w:sz w:val="24"/>
          <w:szCs w:val="24"/>
        </w:rPr>
        <w:t xml:space="preserve"> </w:t>
      </w:r>
      <w:proofErr w:type="spellStart"/>
      <w:r w:rsidR="00CD30D8">
        <w:rPr>
          <w:rFonts w:cstheme="minorHAnsi"/>
          <w:bCs/>
          <w:sz w:val="24"/>
          <w:szCs w:val="24"/>
        </w:rPr>
        <w:t>it</w:t>
      </w:r>
      <w:proofErr w:type="spellEnd"/>
      <w:r w:rsidR="00CD30D8">
        <w:rPr>
          <w:rFonts w:cstheme="minorHAnsi"/>
          <w:bCs/>
          <w:sz w:val="24"/>
          <w:szCs w:val="24"/>
        </w:rPr>
        <w:t xml:space="preserve"> </w:t>
      </w:r>
      <w:proofErr w:type="spellStart"/>
      <w:r w:rsidR="00CD30D8">
        <w:rPr>
          <w:rFonts w:cstheme="minorHAnsi"/>
          <w:bCs/>
          <w:sz w:val="24"/>
          <w:szCs w:val="24"/>
        </w:rPr>
        <w:t>is</w:t>
      </w:r>
      <w:proofErr w:type="spellEnd"/>
      <w:r w:rsidR="00CD30D8">
        <w:rPr>
          <w:rFonts w:cstheme="minorHAnsi"/>
          <w:bCs/>
          <w:sz w:val="24"/>
          <w:szCs w:val="24"/>
        </w:rPr>
        <w:t xml:space="preserve"> </w:t>
      </w:r>
      <w:proofErr w:type="spellStart"/>
      <w:r w:rsidR="00CD30D8">
        <w:rPr>
          <w:rFonts w:cstheme="minorHAnsi"/>
          <w:bCs/>
          <w:sz w:val="24"/>
          <w:szCs w:val="24"/>
        </w:rPr>
        <w:t>needed</w:t>
      </w:r>
      <w:proofErr w:type="spellEnd"/>
      <w:r w:rsidR="00CD30D8">
        <w:rPr>
          <w:rFonts w:cstheme="minorHAnsi"/>
          <w:bCs/>
          <w:sz w:val="24"/>
          <w:szCs w:val="24"/>
        </w:rPr>
        <w:t xml:space="preserve"> to </w:t>
      </w:r>
      <w:proofErr w:type="spellStart"/>
      <w:r w:rsidR="00CD30D8">
        <w:rPr>
          <w:rFonts w:cstheme="minorHAnsi"/>
          <w:bCs/>
          <w:sz w:val="24"/>
          <w:szCs w:val="24"/>
        </w:rPr>
        <w:t>invest</w:t>
      </w:r>
      <w:proofErr w:type="spellEnd"/>
      <w:r w:rsidR="00CD30D8">
        <w:rPr>
          <w:rFonts w:cstheme="minorHAnsi"/>
          <w:bCs/>
          <w:sz w:val="24"/>
          <w:szCs w:val="24"/>
        </w:rPr>
        <w:t xml:space="preserve"> </w:t>
      </w:r>
      <w:proofErr w:type="spellStart"/>
      <w:r w:rsidR="00CD30D8">
        <w:rPr>
          <w:rFonts w:cstheme="minorHAnsi"/>
          <w:bCs/>
          <w:sz w:val="24"/>
          <w:szCs w:val="24"/>
        </w:rPr>
        <w:t>in</w:t>
      </w:r>
      <w:proofErr w:type="spellEnd"/>
      <w:r w:rsidR="00CD30D8">
        <w:rPr>
          <w:rFonts w:cstheme="minorHAnsi"/>
          <w:bCs/>
          <w:sz w:val="24"/>
          <w:szCs w:val="24"/>
        </w:rPr>
        <w:t xml:space="preserve"> </w:t>
      </w:r>
      <w:proofErr w:type="spellStart"/>
      <w:r w:rsidR="00CD30D8">
        <w:rPr>
          <w:rFonts w:cstheme="minorHAnsi"/>
          <w:bCs/>
          <w:sz w:val="24"/>
          <w:szCs w:val="24"/>
        </w:rPr>
        <w:t>the</w:t>
      </w:r>
      <w:proofErr w:type="spellEnd"/>
      <w:r w:rsidR="00CD30D8">
        <w:rPr>
          <w:rFonts w:cstheme="minorHAnsi"/>
          <w:bCs/>
          <w:sz w:val="24"/>
          <w:szCs w:val="24"/>
        </w:rPr>
        <w:t xml:space="preserve"> </w:t>
      </w:r>
      <w:proofErr w:type="spellStart"/>
      <w:r w:rsidR="00CD30D8">
        <w:rPr>
          <w:rFonts w:cstheme="minorHAnsi"/>
          <w:bCs/>
          <w:sz w:val="24"/>
          <w:szCs w:val="24"/>
        </w:rPr>
        <w:t>quality</w:t>
      </w:r>
      <w:proofErr w:type="spellEnd"/>
      <w:r w:rsidR="00CD30D8">
        <w:rPr>
          <w:rFonts w:cstheme="minorHAnsi"/>
          <w:bCs/>
          <w:sz w:val="24"/>
          <w:szCs w:val="24"/>
        </w:rPr>
        <w:t xml:space="preserve"> </w:t>
      </w:r>
      <w:proofErr w:type="spellStart"/>
      <w:r w:rsidR="00CD30D8">
        <w:rPr>
          <w:rFonts w:cstheme="minorHAnsi"/>
          <w:bCs/>
          <w:sz w:val="24"/>
          <w:szCs w:val="24"/>
        </w:rPr>
        <w:t>of</w:t>
      </w:r>
      <w:proofErr w:type="spellEnd"/>
      <w:r w:rsidR="00CD30D8">
        <w:rPr>
          <w:rFonts w:cstheme="minorHAnsi"/>
          <w:bCs/>
          <w:sz w:val="24"/>
          <w:szCs w:val="24"/>
        </w:rPr>
        <w:t xml:space="preserve"> </w:t>
      </w:r>
      <w:proofErr w:type="spellStart"/>
      <w:r w:rsidR="00CD30D8">
        <w:rPr>
          <w:rFonts w:cstheme="minorHAnsi"/>
          <w:bCs/>
          <w:sz w:val="24"/>
          <w:szCs w:val="24"/>
        </w:rPr>
        <w:t>the</w:t>
      </w:r>
      <w:proofErr w:type="spellEnd"/>
      <w:r w:rsidR="00CD30D8">
        <w:rPr>
          <w:rFonts w:cstheme="minorHAnsi"/>
          <w:bCs/>
          <w:sz w:val="24"/>
          <w:szCs w:val="24"/>
        </w:rPr>
        <w:t xml:space="preserve"> </w:t>
      </w:r>
      <w:proofErr w:type="spellStart"/>
      <w:r w:rsidR="00CD30D8">
        <w:rPr>
          <w:rFonts w:cstheme="minorHAnsi"/>
          <w:bCs/>
          <w:sz w:val="24"/>
          <w:szCs w:val="24"/>
        </w:rPr>
        <w:t>proces</w:t>
      </w:r>
      <w:r w:rsidR="00441402">
        <w:rPr>
          <w:rFonts w:cstheme="minorHAnsi"/>
          <w:bCs/>
          <w:sz w:val="24"/>
          <w:szCs w:val="24"/>
        </w:rPr>
        <w:t>s</w:t>
      </w:r>
      <w:proofErr w:type="spellEnd"/>
      <w:r w:rsidR="00CD30D8">
        <w:rPr>
          <w:rFonts w:cstheme="minorHAnsi"/>
          <w:bCs/>
          <w:sz w:val="24"/>
          <w:szCs w:val="24"/>
        </w:rPr>
        <w:t>.</w:t>
      </w:r>
    </w:p>
    <w:p w:rsidR="005B2834" w:rsidRPr="00C1757C" w:rsidRDefault="004515CB" w:rsidP="00344A78">
      <w:pPr>
        <w:jc w:val="both"/>
        <w:rPr>
          <w:sz w:val="24"/>
          <w:szCs w:val="24"/>
        </w:rPr>
      </w:pPr>
      <w:proofErr w:type="spellStart"/>
      <w:r>
        <w:rPr>
          <w:b/>
          <w:sz w:val="24"/>
          <w:szCs w:val="24"/>
        </w:rPr>
        <w:t>Key</w:t>
      </w:r>
      <w:proofErr w:type="spellEnd"/>
      <w:r>
        <w:rPr>
          <w:b/>
          <w:sz w:val="24"/>
          <w:szCs w:val="24"/>
        </w:rPr>
        <w:t xml:space="preserve"> </w:t>
      </w:r>
      <w:proofErr w:type="spellStart"/>
      <w:r>
        <w:rPr>
          <w:b/>
          <w:sz w:val="24"/>
          <w:szCs w:val="24"/>
        </w:rPr>
        <w:t>words</w:t>
      </w:r>
      <w:proofErr w:type="spellEnd"/>
      <w:r>
        <w:rPr>
          <w:b/>
          <w:sz w:val="24"/>
          <w:szCs w:val="24"/>
        </w:rPr>
        <w:t xml:space="preserve">: </w:t>
      </w:r>
      <w:proofErr w:type="spellStart"/>
      <w:r w:rsidRPr="00C1757C">
        <w:rPr>
          <w:sz w:val="24"/>
          <w:szCs w:val="24"/>
        </w:rPr>
        <w:t>Colorectal</w:t>
      </w:r>
      <w:proofErr w:type="spellEnd"/>
      <w:r w:rsidRPr="00C1757C">
        <w:rPr>
          <w:sz w:val="24"/>
          <w:szCs w:val="24"/>
        </w:rPr>
        <w:t xml:space="preserve"> Cancer; </w:t>
      </w:r>
      <w:proofErr w:type="spellStart"/>
      <w:r w:rsidRPr="00C1757C">
        <w:rPr>
          <w:sz w:val="24"/>
          <w:szCs w:val="24"/>
        </w:rPr>
        <w:t>mass</w:t>
      </w:r>
      <w:proofErr w:type="spellEnd"/>
      <w:r w:rsidRPr="00C1757C">
        <w:rPr>
          <w:sz w:val="24"/>
          <w:szCs w:val="24"/>
        </w:rPr>
        <w:t xml:space="preserve"> </w:t>
      </w:r>
      <w:proofErr w:type="spellStart"/>
      <w:r w:rsidRPr="00C1757C">
        <w:rPr>
          <w:sz w:val="24"/>
          <w:szCs w:val="24"/>
        </w:rPr>
        <w:t>screening</w:t>
      </w:r>
      <w:proofErr w:type="spellEnd"/>
      <w:r w:rsidRPr="00C1757C">
        <w:rPr>
          <w:sz w:val="24"/>
          <w:szCs w:val="24"/>
        </w:rPr>
        <w:t xml:space="preserve">; </w:t>
      </w:r>
      <w:proofErr w:type="spellStart"/>
      <w:r w:rsidRPr="00C1757C">
        <w:rPr>
          <w:sz w:val="24"/>
          <w:szCs w:val="24"/>
        </w:rPr>
        <w:t>Faecal</w:t>
      </w:r>
      <w:proofErr w:type="spellEnd"/>
      <w:r w:rsidRPr="00C1757C">
        <w:rPr>
          <w:sz w:val="24"/>
          <w:szCs w:val="24"/>
        </w:rPr>
        <w:t xml:space="preserve"> </w:t>
      </w:r>
      <w:proofErr w:type="spellStart"/>
      <w:r w:rsidRPr="00C1757C">
        <w:rPr>
          <w:sz w:val="24"/>
          <w:szCs w:val="24"/>
        </w:rPr>
        <w:t>Immunochemical</w:t>
      </w:r>
      <w:proofErr w:type="spellEnd"/>
      <w:r w:rsidRPr="00C1757C">
        <w:rPr>
          <w:sz w:val="24"/>
          <w:szCs w:val="24"/>
        </w:rPr>
        <w:t xml:space="preserve"> test; </w:t>
      </w:r>
      <w:proofErr w:type="spellStart"/>
      <w:r w:rsidRPr="00C1757C">
        <w:rPr>
          <w:sz w:val="24"/>
          <w:szCs w:val="24"/>
        </w:rPr>
        <w:t>early</w:t>
      </w:r>
      <w:proofErr w:type="spellEnd"/>
      <w:r w:rsidRPr="00C1757C">
        <w:rPr>
          <w:sz w:val="24"/>
          <w:szCs w:val="24"/>
        </w:rPr>
        <w:t xml:space="preserve"> </w:t>
      </w:r>
      <w:proofErr w:type="spellStart"/>
      <w:r w:rsidRPr="00C1757C">
        <w:rPr>
          <w:sz w:val="24"/>
          <w:szCs w:val="24"/>
        </w:rPr>
        <w:t>detection</w:t>
      </w:r>
      <w:proofErr w:type="spellEnd"/>
      <w:r w:rsidRPr="00C1757C">
        <w:rPr>
          <w:sz w:val="24"/>
          <w:szCs w:val="24"/>
        </w:rPr>
        <w:t xml:space="preserve">; </w:t>
      </w:r>
      <w:proofErr w:type="spellStart"/>
      <w:r w:rsidRPr="00C1757C">
        <w:rPr>
          <w:sz w:val="24"/>
          <w:szCs w:val="24"/>
        </w:rPr>
        <w:t>survival</w:t>
      </w:r>
      <w:proofErr w:type="spellEnd"/>
      <w:r w:rsidRPr="00C1757C">
        <w:rPr>
          <w:sz w:val="24"/>
          <w:szCs w:val="24"/>
        </w:rPr>
        <w:t xml:space="preserve">; </w:t>
      </w:r>
      <w:proofErr w:type="spellStart"/>
      <w:r w:rsidRPr="00C1757C">
        <w:rPr>
          <w:sz w:val="24"/>
          <w:szCs w:val="24"/>
        </w:rPr>
        <w:t>Colonoscopy</w:t>
      </w:r>
      <w:proofErr w:type="spellEnd"/>
      <w:r w:rsidRPr="00C1757C">
        <w:rPr>
          <w:sz w:val="24"/>
          <w:szCs w:val="24"/>
        </w:rPr>
        <w:t xml:space="preserve">; </w:t>
      </w:r>
      <w:proofErr w:type="spellStart"/>
      <w:r w:rsidRPr="00C1757C">
        <w:rPr>
          <w:sz w:val="24"/>
          <w:szCs w:val="24"/>
        </w:rPr>
        <w:t>quality</w:t>
      </w:r>
      <w:proofErr w:type="spellEnd"/>
    </w:p>
    <w:p w:rsidR="005B2834" w:rsidRDefault="005B2834" w:rsidP="00344A78">
      <w:pPr>
        <w:jc w:val="both"/>
        <w:rPr>
          <w:b/>
          <w:sz w:val="24"/>
          <w:szCs w:val="24"/>
        </w:rPr>
      </w:pPr>
    </w:p>
    <w:p w:rsidR="00F53009" w:rsidRPr="00AB335D" w:rsidRDefault="00F53009" w:rsidP="00344A78">
      <w:pPr>
        <w:jc w:val="both"/>
        <w:rPr>
          <w:rFonts w:cstheme="minorHAnsi"/>
          <w:b/>
          <w:sz w:val="24"/>
          <w:szCs w:val="24"/>
        </w:rPr>
      </w:pPr>
      <w:r w:rsidRPr="00AB335D">
        <w:rPr>
          <w:b/>
          <w:sz w:val="24"/>
          <w:szCs w:val="24"/>
        </w:rPr>
        <w:t>LABURPENA</w:t>
      </w:r>
    </w:p>
    <w:p w:rsidR="00F53009" w:rsidRPr="00AB335D" w:rsidRDefault="00CE3F54" w:rsidP="00344A78">
      <w:pPr>
        <w:jc w:val="both"/>
        <w:rPr>
          <w:rFonts w:cstheme="minorHAnsi"/>
          <w:sz w:val="24"/>
          <w:szCs w:val="24"/>
        </w:rPr>
      </w:pPr>
      <w:r w:rsidRPr="00AB335D">
        <w:rPr>
          <w:sz w:val="24"/>
          <w:szCs w:val="24"/>
        </w:rPr>
        <w:t xml:space="preserve">Euskadiko Baheketa Programa 50 eta 69 urte bitarteko biztanleei zuzenduta dago. Gorotzetan ezkutuan dagoen odola detektatzeko testaren (FIT) bidez egiten da, bi </w:t>
      </w:r>
      <w:r w:rsidRPr="00AB335D">
        <w:rPr>
          <w:sz w:val="24"/>
          <w:szCs w:val="24"/>
        </w:rPr>
        <w:lastRenderedPageBreak/>
        <w:t xml:space="preserve">urtean behin, eta kasu positiboetan </w:t>
      </w:r>
      <w:proofErr w:type="spellStart"/>
      <w:r w:rsidRPr="00AB335D">
        <w:rPr>
          <w:sz w:val="24"/>
          <w:szCs w:val="24"/>
        </w:rPr>
        <w:t>kolonoskopia</w:t>
      </w:r>
      <w:proofErr w:type="spellEnd"/>
      <w:r w:rsidRPr="00AB335D">
        <w:rPr>
          <w:sz w:val="24"/>
          <w:szCs w:val="24"/>
        </w:rPr>
        <w:t xml:space="preserve"> egiten da </w:t>
      </w:r>
      <w:proofErr w:type="spellStart"/>
      <w:r w:rsidRPr="00AB335D">
        <w:rPr>
          <w:sz w:val="24"/>
          <w:szCs w:val="24"/>
        </w:rPr>
        <w:t>sedazioarekin</w:t>
      </w:r>
      <w:proofErr w:type="spellEnd"/>
      <w:r w:rsidRPr="00AB335D">
        <w:rPr>
          <w:sz w:val="24"/>
          <w:szCs w:val="24"/>
        </w:rPr>
        <w:t xml:space="preserve">. </w:t>
      </w:r>
      <w:r w:rsidRPr="00AB335D">
        <w:rPr>
          <w:b/>
          <w:sz w:val="24"/>
          <w:szCs w:val="24"/>
        </w:rPr>
        <w:t>Metodoa</w:t>
      </w:r>
      <w:r w:rsidRPr="00AB335D">
        <w:rPr>
          <w:sz w:val="24"/>
          <w:szCs w:val="24"/>
        </w:rPr>
        <w:t xml:space="preserve">: gonbidapen indibiduala, etxera </w:t>
      </w:r>
      <w:proofErr w:type="spellStart"/>
      <w:r w:rsidRPr="00AB335D">
        <w:rPr>
          <w:sz w:val="24"/>
          <w:szCs w:val="24"/>
        </w:rPr>
        <w:t>kit-a</w:t>
      </w:r>
      <w:proofErr w:type="spellEnd"/>
      <w:r w:rsidRPr="00AB335D">
        <w:rPr>
          <w:sz w:val="24"/>
          <w:szCs w:val="24"/>
        </w:rPr>
        <w:t xml:space="preserve"> bidaltzea, Lehen Mailako Arretaren parte hartzea eta Datu Base </w:t>
      </w:r>
      <w:proofErr w:type="spellStart"/>
      <w:r w:rsidRPr="00AB335D">
        <w:rPr>
          <w:sz w:val="24"/>
          <w:szCs w:val="24"/>
        </w:rPr>
        <w:t>interoperatiboak</w:t>
      </w:r>
      <w:proofErr w:type="spellEnd"/>
      <w:r w:rsidRPr="00AB335D">
        <w:rPr>
          <w:sz w:val="24"/>
          <w:szCs w:val="24"/>
        </w:rPr>
        <w:t xml:space="preserve"> Osabiderekin, Minbiziaren Erregistroarekin eta Heriotza Tasaren Erregistroarekin. 2009-2016 bitartean egindako gonbidapenen azterketa, sexuaren eta biziraupenaren arabera, 2009-2014. 2011ko Europako Kalitate Gidan oinarritutako irizpideak eta adierazleak. </w:t>
      </w:r>
      <w:proofErr w:type="spellStart"/>
      <w:r w:rsidRPr="00AB335D">
        <w:rPr>
          <w:sz w:val="24"/>
          <w:szCs w:val="24"/>
        </w:rPr>
        <w:t>Deskripzio-estatistikoak</w:t>
      </w:r>
      <w:proofErr w:type="spellEnd"/>
      <w:r w:rsidRPr="00AB335D">
        <w:rPr>
          <w:sz w:val="24"/>
          <w:szCs w:val="24"/>
        </w:rPr>
        <w:t xml:space="preserve">, </w:t>
      </w:r>
      <w:proofErr w:type="spellStart"/>
      <w:r w:rsidRPr="00AB335D">
        <w:rPr>
          <w:sz w:val="24"/>
          <w:szCs w:val="24"/>
        </w:rPr>
        <w:t>Kaplan-Meyer</w:t>
      </w:r>
      <w:proofErr w:type="spellEnd"/>
      <w:r w:rsidRPr="00AB335D">
        <w:rPr>
          <w:sz w:val="24"/>
          <w:szCs w:val="24"/>
        </w:rPr>
        <w:t xml:space="preserve"> biziraupen-kurbak. SPSS v23 eta R-ren erabilpena. </w:t>
      </w:r>
      <w:r w:rsidRPr="00AB335D">
        <w:rPr>
          <w:b/>
          <w:sz w:val="24"/>
          <w:szCs w:val="24"/>
        </w:rPr>
        <w:t>Emaitzak:</w:t>
      </w:r>
      <w:r w:rsidRPr="00AB335D">
        <w:rPr>
          <w:sz w:val="24"/>
          <w:szCs w:val="24"/>
        </w:rPr>
        <w:t xml:space="preserve"> 1.426.846 baliozko gonbidapen, parte -hartzeak joera positiboa (p&lt;0,001</w:t>
      </w:r>
      <w:proofErr w:type="spellStart"/>
      <w:r w:rsidRPr="00AB335D">
        <w:rPr>
          <w:sz w:val="24"/>
          <w:szCs w:val="24"/>
        </w:rPr>
        <w:t>), em</w:t>
      </w:r>
      <w:proofErr w:type="spellEnd"/>
      <w:r w:rsidRPr="00AB335D">
        <w:rPr>
          <w:sz w:val="24"/>
          <w:szCs w:val="24"/>
        </w:rPr>
        <w:t>akumeen parte-hartzea gizonena baino handiagoa, 2016an % 74,5 vs % 69,9. Lesio aurreratuei dagokienez (</w:t>
      </w:r>
      <w:proofErr w:type="spellStart"/>
      <w:r w:rsidRPr="00AB335D">
        <w:rPr>
          <w:sz w:val="24"/>
          <w:szCs w:val="24"/>
        </w:rPr>
        <w:t>adenoma</w:t>
      </w:r>
      <w:proofErr w:type="spellEnd"/>
      <w:r w:rsidRPr="00AB335D">
        <w:rPr>
          <w:sz w:val="24"/>
          <w:szCs w:val="24"/>
        </w:rPr>
        <w:t xml:space="preserve"> aurreratuak eta minbizi inbaditzailea) detekzio-tasa handiagoa da gizonen artean. </w:t>
      </w:r>
      <w:proofErr w:type="spellStart"/>
      <w:r w:rsidRPr="00AB335D">
        <w:rPr>
          <w:sz w:val="24"/>
          <w:szCs w:val="24"/>
        </w:rPr>
        <w:t>Kolonoskopiarekiko</w:t>
      </w:r>
      <w:proofErr w:type="spellEnd"/>
      <w:r w:rsidRPr="00AB335D">
        <w:rPr>
          <w:sz w:val="24"/>
          <w:szCs w:val="24"/>
        </w:rPr>
        <w:t xml:space="preserve"> batez besteko atxikidura % 95ekoa izan zen; </w:t>
      </w:r>
      <w:proofErr w:type="spellStart"/>
      <w:r w:rsidRPr="00AB335D">
        <w:rPr>
          <w:sz w:val="24"/>
          <w:szCs w:val="24"/>
        </w:rPr>
        <w:t>kolonoskopien</w:t>
      </w:r>
      <w:proofErr w:type="spellEnd"/>
      <w:r w:rsidRPr="00AB335D">
        <w:rPr>
          <w:sz w:val="24"/>
          <w:szCs w:val="24"/>
        </w:rPr>
        <w:t xml:space="preserve"> % 89,1ean prestakuntza egokia izan zen. 2.856 minbizi-kasuetatik % 69,2 hasierako estadioetan aurkitu ziren. 377 negatibo faltsu erregistr</w:t>
      </w:r>
      <w:r w:rsidR="00C22B33">
        <w:rPr>
          <w:sz w:val="24"/>
          <w:szCs w:val="24"/>
        </w:rPr>
        <w:t>atu ziren, horietatik 85 kasu 69</w:t>
      </w:r>
      <w:r w:rsidRPr="00AB335D">
        <w:rPr>
          <w:sz w:val="24"/>
          <w:szCs w:val="24"/>
        </w:rPr>
        <w:t xml:space="preserve"> urtetik gorako pazienteekin. Testaren sentsibilitatea 88,38koa izan zen (% 95eko konfiantza-maila 87,22-89,45 konfiantza-tartean) eta iragarpen-balio negatiboa, berriz, 99,96koa (% 95eko konfiantza-maila 99,95-99,96 konfiantza-tartean).</w:t>
      </w:r>
      <w:r w:rsidRPr="00AB335D">
        <w:rPr>
          <w:bCs/>
          <w:sz w:val="24"/>
          <w:szCs w:val="24"/>
        </w:rPr>
        <w:t xml:space="preserve"> Programak detektatutako kasuen biziraupena 1, 3 eta 5 urtetara behaketa-programak detektatu gabeko kasuen edo kasu sintomatikoen biziraupena baino handiagoa izan zen nabarmenki (% 97,8 vs % 87,4, % 93,4 vs % 73,0 eta % 90,1 vs % 66,7 hurrenez hurren). </w:t>
      </w:r>
      <w:r w:rsidRPr="00AB335D">
        <w:rPr>
          <w:b/>
          <w:bCs/>
          <w:sz w:val="24"/>
          <w:szCs w:val="24"/>
        </w:rPr>
        <w:t xml:space="preserve">Ondorioak: </w:t>
      </w:r>
      <w:r w:rsidRPr="00AB335D">
        <w:rPr>
          <w:bCs/>
          <w:sz w:val="24"/>
          <w:szCs w:val="24"/>
        </w:rPr>
        <w:t>Programak balantze positiboa erakusten du, onurei dagokienez; alabaina, beharrezkoa da prozesuaren kalitatean inbertitzen jarraitzea.</w:t>
      </w:r>
    </w:p>
    <w:p w:rsidR="00C22B33" w:rsidRPr="00C22B33" w:rsidRDefault="001E0F01" w:rsidP="00344A78">
      <w:pPr>
        <w:jc w:val="both"/>
        <w:rPr>
          <w:sz w:val="24"/>
          <w:szCs w:val="24"/>
        </w:rPr>
      </w:pPr>
      <w:r>
        <w:rPr>
          <w:b/>
          <w:sz w:val="24"/>
          <w:szCs w:val="24"/>
        </w:rPr>
        <w:t xml:space="preserve">Hitz nagusiak: </w:t>
      </w:r>
      <w:r w:rsidR="00C22B33">
        <w:rPr>
          <w:sz w:val="24"/>
          <w:szCs w:val="24"/>
        </w:rPr>
        <w:t xml:space="preserve">Kolon eta ondesteko minbizia; Baheketa; Test </w:t>
      </w:r>
      <w:proofErr w:type="spellStart"/>
      <w:r w:rsidR="00C22B33">
        <w:rPr>
          <w:sz w:val="24"/>
          <w:szCs w:val="24"/>
        </w:rPr>
        <w:t>Immunokimiko</w:t>
      </w:r>
      <w:proofErr w:type="spellEnd"/>
      <w:r w:rsidR="00C22B33">
        <w:rPr>
          <w:sz w:val="24"/>
          <w:szCs w:val="24"/>
        </w:rPr>
        <w:t xml:space="preserve"> kuantitatiboa; Garaiz </w:t>
      </w:r>
      <w:proofErr w:type="spellStart"/>
      <w:r w:rsidR="00C22B33">
        <w:rPr>
          <w:sz w:val="24"/>
          <w:szCs w:val="24"/>
        </w:rPr>
        <w:t>detektioa</w:t>
      </w:r>
      <w:proofErr w:type="spellEnd"/>
      <w:r w:rsidR="00C22B33">
        <w:rPr>
          <w:sz w:val="24"/>
          <w:szCs w:val="24"/>
        </w:rPr>
        <w:t xml:space="preserve">; Biziraupen; </w:t>
      </w:r>
      <w:proofErr w:type="spellStart"/>
      <w:r w:rsidR="00C22B33">
        <w:rPr>
          <w:sz w:val="24"/>
          <w:szCs w:val="24"/>
        </w:rPr>
        <w:t>Kolonoskopia</w:t>
      </w:r>
      <w:proofErr w:type="spellEnd"/>
      <w:r w:rsidR="00C22B33">
        <w:rPr>
          <w:sz w:val="24"/>
          <w:szCs w:val="24"/>
        </w:rPr>
        <w:t>; Kalitatea</w:t>
      </w:r>
    </w:p>
    <w:p w:rsidR="00C22B33" w:rsidRDefault="00C22B33" w:rsidP="00344A78">
      <w:pPr>
        <w:jc w:val="both"/>
        <w:rPr>
          <w:b/>
          <w:sz w:val="24"/>
          <w:szCs w:val="24"/>
        </w:rPr>
      </w:pPr>
    </w:p>
    <w:p w:rsidR="00F53009" w:rsidRPr="00AB335D" w:rsidRDefault="00F53009" w:rsidP="00344A78">
      <w:pPr>
        <w:jc w:val="both"/>
        <w:rPr>
          <w:rFonts w:cstheme="minorHAnsi"/>
          <w:b/>
          <w:sz w:val="24"/>
          <w:szCs w:val="24"/>
        </w:rPr>
      </w:pPr>
      <w:r w:rsidRPr="00AB335D">
        <w:rPr>
          <w:b/>
          <w:sz w:val="24"/>
          <w:szCs w:val="24"/>
        </w:rPr>
        <w:t>SARRERA</w:t>
      </w:r>
    </w:p>
    <w:p w:rsidR="00BC0C41" w:rsidRPr="00AB335D" w:rsidRDefault="00BC0C41" w:rsidP="00344A78">
      <w:pPr>
        <w:jc w:val="both"/>
        <w:rPr>
          <w:rFonts w:eastAsia="SimSun" w:cstheme="minorHAnsi"/>
          <w:bCs/>
          <w:sz w:val="24"/>
          <w:szCs w:val="24"/>
        </w:rPr>
      </w:pPr>
      <w:proofErr w:type="spellStart"/>
      <w:r w:rsidRPr="00AB335D">
        <w:rPr>
          <w:bCs/>
          <w:sz w:val="24"/>
          <w:szCs w:val="24"/>
        </w:rPr>
        <w:t>GLOBOCANen</w:t>
      </w:r>
      <w:proofErr w:type="spellEnd"/>
      <w:r w:rsidRPr="00AB335D">
        <w:rPr>
          <w:bCs/>
          <w:sz w:val="24"/>
          <w:szCs w:val="24"/>
        </w:rPr>
        <w:t xml:space="preserve"> (IARC, OME) </w:t>
      </w:r>
      <w:r w:rsidRPr="00AB335D">
        <w:rPr>
          <w:bCs/>
          <w:sz w:val="24"/>
          <w:szCs w:val="24"/>
          <w:vertAlign w:val="superscript"/>
        </w:rPr>
        <w:t>1</w:t>
      </w:r>
      <w:r w:rsidRPr="00AB335D">
        <w:rPr>
          <w:bCs/>
          <w:sz w:val="24"/>
          <w:szCs w:val="24"/>
        </w:rPr>
        <w:t xml:space="preserve"> 2012ko datuen arabera, kolon-ondesteko minbizia (KOM) hirugarren minbizi ohikoena da gizonen artean (746.000 kasu, guztizkoaren % 10,0) eta bigarren ohikoena emakumeen artean (614.000 kasu, guztizkoaren % 9,2) mundu osoan. Kasuen % 55 garapen handieneko eskualdeetan erregistratzen da. Intzidentziaren aldakuntza geografiaren eta sexuaren araberakoa da. Esaterako, intzidentzia-tasak 10 aldiz handiagoak dira eskualdearen arabera: handienak Australian eta Zeelanda Berrian zenbatesten dira (tasa egokitua 44,8 eta 32,2 kasukoa da 100.000 gizon edo emakumeko, hurrenez hurren), eta txikienak, berriz, Mendebaldeko Afrikan (4,5 eta 3,8 kasu 100.000ko</w:t>
      </w:r>
      <w:proofErr w:type="spellStart"/>
      <w:r w:rsidRPr="00AB335D">
        <w:rPr>
          <w:bCs/>
          <w:sz w:val="24"/>
          <w:szCs w:val="24"/>
        </w:rPr>
        <w:t>).</w:t>
      </w:r>
      <w:proofErr w:type="spellEnd"/>
    </w:p>
    <w:p w:rsidR="00BC0C41" w:rsidRPr="00AB335D" w:rsidRDefault="00BC0C41" w:rsidP="00344A78">
      <w:pPr>
        <w:jc w:val="both"/>
        <w:rPr>
          <w:rFonts w:eastAsia="SimSun" w:cstheme="minorHAnsi"/>
          <w:bCs/>
          <w:sz w:val="24"/>
          <w:szCs w:val="24"/>
        </w:rPr>
      </w:pPr>
      <w:proofErr w:type="spellStart"/>
      <w:r w:rsidRPr="00AB335D">
        <w:rPr>
          <w:bCs/>
          <w:sz w:val="24"/>
          <w:szCs w:val="24"/>
        </w:rPr>
        <w:t>KOMak</w:t>
      </w:r>
      <w:proofErr w:type="spellEnd"/>
      <w:r w:rsidRPr="00AB335D">
        <w:rPr>
          <w:bCs/>
          <w:sz w:val="24"/>
          <w:szCs w:val="24"/>
        </w:rPr>
        <w:t xml:space="preserve"> eragindako heriotza-tasak txikiak dira (694.000 heriotza, guztizkoaren % 8,5), eta heriotza gehiago daude garapen eskasagoa duten herrialdeetan. Eskualde horietan, biziraupena baxua da (% 52). Aldiz, aldakortasuna txikiagoa da munduko heriotza-tasetan (sei bider gizonen artean eta lau bider emakumeen artean). Bi sexuetan, </w:t>
      </w:r>
      <w:r w:rsidRPr="00AB335D">
        <w:rPr>
          <w:bCs/>
          <w:sz w:val="24"/>
          <w:szCs w:val="24"/>
        </w:rPr>
        <w:lastRenderedPageBreak/>
        <w:t xml:space="preserve">Erdialdeko eta Ekialdeko Europan erregistratzen dira heriotza-tasarik handienak (100.000 gizoneko 20,3 eta 100.000 emakumeko 11,7) eta Afrikako mendebaldean txikienak (3,5 eta 3,0, hurrenez hurren). </w:t>
      </w:r>
    </w:p>
    <w:p w:rsidR="00BC0C41" w:rsidRPr="00AB335D" w:rsidRDefault="00BC0C41" w:rsidP="00344A78">
      <w:pPr>
        <w:pStyle w:val="Textoindependiente3"/>
        <w:spacing w:after="120"/>
        <w:jc w:val="both"/>
        <w:rPr>
          <w:rFonts w:asciiTheme="minorHAnsi" w:hAnsiTheme="minorHAnsi" w:cstheme="minorHAnsi"/>
          <w:b w:val="0"/>
          <w:sz w:val="24"/>
          <w:szCs w:val="24"/>
        </w:rPr>
      </w:pPr>
      <w:r w:rsidRPr="00AB335D">
        <w:rPr>
          <w:rFonts w:asciiTheme="minorHAnsi" w:hAnsiTheme="minorHAnsi"/>
          <w:b w:val="0"/>
          <w:sz w:val="24"/>
          <w:szCs w:val="24"/>
        </w:rPr>
        <w:t>Euskadin Minbiziaren Populazio Erregistroa eta Heriotza Tasen Erregistroa dauzkagu, eta baheketa-programa abian jarri arte (2009) intzidentzian gorakadak, heriotza-tasen nolabaiteko egonkortasuna eta biziraupen erlatiboaren hazkuntza ikusi ziren 1986tik 2008ra bitarteko datuak aztertu zirenean</w:t>
      </w:r>
      <w:r w:rsidRPr="00AB335D">
        <w:rPr>
          <w:rFonts w:asciiTheme="minorHAnsi" w:hAnsiTheme="minorHAnsi"/>
          <w:b w:val="0"/>
          <w:sz w:val="24"/>
          <w:szCs w:val="24"/>
          <w:vertAlign w:val="superscript"/>
        </w:rPr>
        <w:t>2</w:t>
      </w:r>
      <w:r w:rsidRPr="00AB335D">
        <w:rPr>
          <w:rFonts w:asciiTheme="minorHAnsi" w:hAnsiTheme="minorHAnsi"/>
          <w:b w:val="0"/>
          <w:sz w:val="24"/>
          <w:szCs w:val="24"/>
        </w:rPr>
        <w:t>.</w:t>
      </w:r>
    </w:p>
    <w:p w:rsidR="00A9783F" w:rsidRPr="00AB335D" w:rsidRDefault="00A9783F" w:rsidP="00344A78">
      <w:pPr>
        <w:jc w:val="both"/>
        <w:rPr>
          <w:rFonts w:cstheme="minorHAnsi"/>
          <w:color w:val="000000"/>
          <w:sz w:val="24"/>
          <w:szCs w:val="24"/>
        </w:rPr>
      </w:pPr>
      <w:proofErr w:type="spellStart"/>
      <w:r w:rsidRPr="00AB335D">
        <w:rPr>
          <w:color w:val="000000"/>
          <w:sz w:val="24"/>
          <w:szCs w:val="24"/>
        </w:rPr>
        <w:t>KOMa</w:t>
      </w:r>
      <w:proofErr w:type="spellEnd"/>
      <w:r w:rsidRPr="00AB335D">
        <w:rPr>
          <w:color w:val="000000"/>
          <w:sz w:val="24"/>
          <w:szCs w:val="24"/>
        </w:rPr>
        <w:t xml:space="preserve"> bereziki egokia da populazioaren baheketa-programa bat egiteko. B</w:t>
      </w:r>
      <w:r w:rsidRPr="00AB335D">
        <w:rPr>
          <w:color w:val="000000" w:themeColor="text1"/>
          <w:sz w:val="24"/>
          <w:szCs w:val="24"/>
        </w:rPr>
        <w:t xml:space="preserve">aheketa hauen oinarrian dauden printzipioak </w:t>
      </w:r>
      <w:proofErr w:type="spellStart"/>
      <w:r w:rsidRPr="00AB335D">
        <w:rPr>
          <w:color w:val="000000"/>
          <w:sz w:val="24"/>
          <w:szCs w:val="24"/>
        </w:rPr>
        <w:t>Wilson</w:t>
      </w:r>
      <w:proofErr w:type="spellEnd"/>
      <w:r w:rsidRPr="00AB335D">
        <w:rPr>
          <w:color w:val="000000"/>
          <w:sz w:val="24"/>
          <w:szCs w:val="24"/>
        </w:rPr>
        <w:t xml:space="preserve"> eta </w:t>
      </w:r>
      <w:proofErr w:type="spellStart"/>
      <w:r w:rsidRPr="00AB335D">
        <w:rPr>
          <w:color w:val="000000"/>
          <w:sz w:val="24"/>
          <w:szCs w:val="24"/>
        </w:rPr>
        <w:t>Jungner-ek</w:t>
      </w:r>
      <w:proofErr w:type="spellEnd"/>
      <w:r w:rsidRPr="00AB335D">
        <w:rPr>
          <w:color w:val="000000"/>
          <w:sz w:val="24"/>
          <w:szCs w:val="24"/>
        </w:rPr>
        <w:t xml:space="preserve"> ezarri zituzten lehenbiziko aldiz 1968an, eta 2008an </w:t>
      </w:r>
      <w:proofErr w:type="spellStart"/>
      <w:r w:rsidRPr="00AB335D">
        <w:rPr>
          <w:color w:val="000000"/>
          <w:sz w:val="24"/>
          <w:szCs w:val="24"/>
        </w:rPr>
        <w:t>Andermann</w:t>
      </w:r>
      <w:proofErr w:type="spellEnd"/>
      <w:r w:rsidRPr="00AB335D">
        <w:rPr>
          <w:color w:val="000000"/>
          <w:sz w:val="24"/>
          <w:szCs w:val="24"/>
        </w:rPr>
        <w:t xml:space="preserve"> eta kideek eguneratu zituzten</w:t>
      </w:r>
      <w:r w:rsidRPr="00AB335D">
        <w:rPr>
          <w:color w:val="000000"/>
          <w:sz w:val="24"/>
          <w:szCs w:val="24"/>
          <w:vertAlign w:val="superscript"/>
        </w:rPr>
        <w:t xml:space="preserve">4 </w:t>
      </w:r>
      <w:r w:rsidRPr="00AB335D">
        <w:rPr>
          <w:color w:val="000000"/>
          <w:sz w:val="24"/>
          <w:szCs w:val="24"/>
        </w:rPr>
        <w:t>; autonomia-erkidegoetako adostasun-taldeek populazioaren baheketari buruzko esparru-dokumentuan jaso zituzten</w:t>
      </w:r>
      <w:r w:rsidRPr="00AB335D">
        <w:rPr>
          <w:color w:val="000000"/>
          <w:sz w:val="24"/>
          <w:szCs w:val="24"/>
          <w:vertAlign w:val="superscript"/>
        </w:rPr>
        <w:t>5</w:t>
      </w:r>
      <w:r w:rsidRPr="00AB335D">
        <w:rPr>
          <w:color w:val="000000"/>
          <w:sz w:val="24"/>
          <w:szCs w:val="24"/>
        </w:rPr>
        <w:t xml:space="preserve">. </w:t>
      </w:r>
    </w:p>
    <w:p w:rsidR="00292EF3" w:rsidRPr="00AB335D" w:rsidRDefault="00647103" w:rsidP="00344A78">
      <w:pPr>
        <w:jc w:val="both"/>
        <w:rPr>
          <w:rFonts w:cstheme="minorHAnsi"/>
          <w:color w:val="000000"/>
          <w:sz w:val="24"/>
          <w:szCs w:val="24"/>
        </w:rPr>
      </w:pPr>
      <w:r w:rsidRPr="00AB335D">
        <w:rPr>
          <w:color w:val="000000"/>
          <w:sz w:val="24"/>
          <w:szCs w:val="24"/>
        </w:rPr>
        <w:t xml:space="preserve">Hauek dira baheketa egiteko eraginkorrak direla erakutsi duten probak: </w:t>
      </w:r>
      <w:proofErr w:type="spellStart"/>
      <w:r w:rsidRPr="00AB335D">
        <w:rPr>
          <w:color w:val="000000"/>
          <w:sz w:val="24"/>
          <w:szCs w:val="24"/>
        </w:rPr>
        <w:t>kolonoskopia</w:t>
      </w:r>
      <w:proofErr w:type="spellEnd"/>
      <w:r w:rsidRPr="00AB335D">
        <w:rPr>
          <w:color w:val="000000"/>
          <w:sz w:val="24"/>
          <w:szCs w:val="24"/>
        </w:rPr>
        <w:t xml:space="preserve">, </w:t>
      </w:r>
      <w:proofErr w:type="spellStart"/>
      <w:r w:rsidRPr="00AB335D">
        <w:rPr>
          <w:color w:val="000000"/>
          <w:sz w:val="24"/>
          <w:szCs w:val="24"/>
        </w:rPr>
        <w:t>sigmoidoskopia</w:t>
      </w:r>
      <w:proofErr w:type="spellEnd"/>
      <w:r w:rsidRPr="00AB335D">
        <w:rPr>
          <w:color w:val="000000"/>
          <w:sz w:val="24"/>
          <w:szCs w:val="24"/>
        </w:rPr>
        <w:t xml:space="preserve"> eta gorotzetan ezkutatutako odola </w:t>
      </w:r>
      <w:proofErr w:type="spellStart"/>
      <w:r w:rsidRPr="00AB335D">
        <w:rPr>
          <w:color w:val="000000"/>
          <w:sz w:val="24"/>
          <w:szCs w:val="24"/>
        </w:rPr>
        <w:t>–SOH-</w:t>
      </w:r>
      <w:proofErr w:type="spellEnd"/>
      <w:r w:rsidRPr="00AB335D">
        <w:rPr>
          <w:color w:val="000000"/>
          <w:sz w:val="24"/>
          <w:szCs w:val="24"/>
        </w:rPr>
        <w:t xml:space="preserve"> (European </w:t>
      </w:r>
      <w:proofErr w:type="spellStart"/>
      <w:r w:rsidRPr="00AB335D">
        <w:rPr>
          <w:color w:val="000000"/>
          <w:sz w:val="24"/>
          <w:szCs w:val="24"/>
        </w:rPr>
        <w:t>Guidelines</w:t>
      </w:r>
      <w:proofErr w:type="spellEnd"/>
      <w:r w:rsidRPr="00AB335D">
        <w:rPr>
          <w:color w:val="000000"/>
          <w:sz w:val="24"/>
          <w:szCs w:val="24"/>
        </w:rPr>
        <w:t>, 2010</w:t>
      </w:r>
      <w:r w:rsidRPr="00AB335D">
        <w:rPr>
          <w:color w:val="000000"/>
          <w:sz w:val="24"/>
          <w:szCs w:val="24"/>
          <w:vertAlign w:val="superscript"/>
        </w:rPr>
        <w:t>6</w:t>
      </w:r>
      <w:r w:rsidRPr="00AB335D">
        <w:rPr>
          <w:color w:val="000000"/>
          <w:sz w:val="24"/>
          <w:szCs w:val="24"/>
        </w:rPr>
        <w:t xml:space="preserve">). Gaixotasunaren historia naturalean </w:t>
      </w:r>
      <w:proofErr w:type="spellStart"/>
      <w:r w:rsidRPr="00AB335D">
        <w:rPr>
          <w:color w:val="000000"/>
          <w:sz w:val="24"/>
          <w:szCs w:val="24"/>
        </w:rPr>
        <w:t>KOMa</w:t>
      </w:r>
      <w:proofErr w:type="spellEnd"/>
      <w:r w:rsidRPr="00AB335D">
        <w:rPr>
          <w:color w:val="000000"/>
          <w:sz w:val="24"/>
          <w:szCs w:val="24"/>
        </w:rPr>
        <w:t xml:space="preserve"> polipo batekin hasten da </w:t>
      </w:r>
      <w:proofErr w:type="spellStart"/>
      <w:r w:rsidRPr="00AB335D">
        <w:rPr>
          <w:color w:val="000000"/>
          <w:sz w:val="24"/>
          <w:szCs w:val="24"/>
        </w:rPr>
        <w:t>–polipo</w:t>
      </w:r>
      <w:proofErr w:type="spellEnd"/>
      <w:r w:rsidRPr="00AB335D">
        <w:rPr>
          <w:color w:val="000000"/>
          <w:sz w:val="24"/>
          <w:szCs w:val="24"/>
        </w:rPr>
        <w:t xml:space="preserve"> guztiak ez dira CCR inbaditzaile bilakatzen (1/10)–. Prozesu hori 10 urte ingurukoa izan daiteke; beraz, lesio aitzindariak eta </w:t>
      </w:r>
      <w:proofErr w:type="spellStart"/>
      <w:r w:rsidRPr="00AB335D">
        <w:rPr>
          <w:color w:val="000000"/>
          <w:sz w:val="24"/>
          <w:szCs w:val="24"/>
        </w:rPr>
        <w:t>KOMa</w:t>
      </w:r>
      <w:proofErr w:type="spellEnd"/>
      <w:r w:rsidRPr="00AB335D">
        <w:rPr>
          <w:color w:val="000000"/>
          <w:sz w:val="24"/>
          <w:szCs w:val="24"/>
        </w:rPr>
        <w:t xml:space="preserve"> garaiz detektatu eta tratatu daitezke.</w:t>
      </w:r>
    </w:p>
    <w:p w:rsidR="00305BED" w:rsidRPr="00AB335D" w:rsidRDefault="00292EF3" w:rsidP="00344A78">
      <w:pPr>
        <w:jc w:val="both"/>
        <w:rPr>
          <w:rFonts w:cstheme="minorHAnsi"/>
          <w:color w:val="000000"/>
          <w:sz w:val="24"/>
          <w:szCs w:val="24"/>
        </w:rPr>
      </w:pPr>
      <w:r w:rsidRPr="00AB335D">
        <w:rPr>
          <w:color w:val="000000"/>
          <w:sz w:val="24"/>
          <w:szCs w:val="24"/>
        </w:rPr>
        <w:t xml:space="preserve">Polipoek odola jariatzeko joera dute; gorotzetan ezkutatutako odolaren proba intzidentzia eta heriotza-tasak murrizteko eraginkorra eta </w:t>
      </w:r>
      <w:proofErr w:type="spellStart"/>
      <w:r w:rsidRPr="00AB335D">
        <w:rPr>
          <w:color w:val="000000"/>
          <w:sz w:val="24"/>
          <w:szCs w:val="24"/>
        </w:rPr>
        <w:t>kostu-eraginkorra</w:t>
      </w:r>
      <w:proofErr w:type="spellEnd"/>
      <w:r w:rsidRPr="00AB335D">
        <w:rPr>
          <w:color w:val="000000"/>
          <w:sz w:val="24"/>
          <w:szCs w:val="24"/>
        </w:rPr>
        <w:t xml:space="preserve"> dela frogatu da, eta arrazoizko onargarritasun- eta bideragarritasun-tasak daude hura ezartzeko. Denboraren joanarekin testek eboluzionatu egin dute; hala, test </w:t>
      </w:r>
      <w:proofErr w:type="spellStart"/>
      <w:r w:rsidRPr="00AB335D">
        <w:rPr>
          <w:color w:val="000000"/>
          <w:sz w:val="24"/>
          <w:szCs w:val="24"/>
        </w:rPr>
        <w:t>immunokimiko</w:t>
      </w:r>
      <w:proofErr w:type="spellEnd"/>
      <w:r w:rsidRPr="00AB335D">
        <w:rPr>
          <w:color w:val="000000"/>
          <w:sz w:val="24"/>
          <w:szCs w:val="24"/>
        </w:rPr>
        <w:t xml:space="preserve"> kuantitatiboek (FIT) erakutsitako lesio aurreratuen detekzio-tasa guaiako testena baino handiagoa da eta herritarren artean onarpen handiagoa dute</w:t>
      </w:r>
      <w:r w:rsidRPr="00AB335D">
        <w:rPr>
          <w:color w:val="000000"/>
          <w:sz w:val="24"/>
          <w:szCs w:val="24"/>
          <w:vertAlign w:val="superscript"/>
        </w:rPr>
        <w:t>7</w:t>
      </w:r>
      <w:r w:rsidRPr="00AB335D">
        <w:rPr>
          <w:color w:val="000000"/>
          <w:sz w:val="24"/>
          <w:szCs w:val="24"/>
        </w:rPr>
        <w:t xml:space="preserve">. Merkatuan askotariko testak daude eta batzuetan zaila izaten da haien arteko konparazioa egitea; hala ere, estandarrak ezarri dira eta aukera ematen dute emaitzak alderatzeko, </w:t>
      </w:r>
      <w:proofErr w:type="spellStart"/>
      <w:r w:rsidRPr="00AB335D">
        <w:rPr>
          <w:color w:val="000000"/>
          <w:sz w:val="24"/>
          <w:szCs w:val="24"/>
        </w:rPr>
        <w:t>µg</w:t>
      </w:r>
      <w:proofErr w:type="spellEnd"/>
      <w:r w:rsidRPr="00AB335D">
        <w:rPr>
          <w:color w:val="000000"/>
          <w:sz w:val="24"/>
          <w:szCs w:val="24"/>
        </w:rPr>
        <w:t xml:space="preserve"> </w:t>
      </w:r>
      <w:proofErr w:type="spellStart"/>
      <w:r w:rsidRPr="00AB335D">
        <w:rPr>
          <w:color w:val="000000"/>
          <w:sz w:val="24"/>
          <w:szCs w:val="24"/>
        </w:rPr>
        <w:t>hemoglobina/g</w:t>
      </w:r>
      <w:proofErr w:type="spellEnd"/>
      <w:r w:rsidRPr="00AB335D">
        <w:rPr>
          <w:color w:val="000000"/>
          <w:sz w:val="24"/>
          <w:szCs w:val="24"/>
        </w:rPr>
        <w:t xml:space="preserve"> gorotz unitatearen bidez</w:t>
      </w:r>
      <w:r w:rsidRPr="00AB335D">
        <w:rPr>
          <w:color w:val="000000"/>
          <w:sz w:val="24"/>
          <w:szCs w:val="24"/>
          <w:vertAlign w:val="superscript"/>
        </w:rPr>
        <w:t>8</w:t>
      </w:r>
      <w:r w:rsidRPr="00AB335D">
        <w:rPr>
          <w:color w:val="000000"/>
          <w:sz w:val="24"/>
          <w:szCs w:val="24"/>
        </w:rPr>
        <w:t>. 2003an Europako Batzordeak estatu-kide guztiei gomendatu zien 50 eta 74 urte bitarteko emakume eta gizonei SOH bidez populazio-baheketa bat egiteko</w:t>
      </w:r>
      <w:r w:rsidRPr="00AB335D">
        <w:rPr>
          <w:color w:val="000000"/>
          <w:sz w:val="24"/>
          <w:szCs w:val="24"/>
          <w:vertAlign w:val="superscript"/>
        </w:rPr>
        <w:t>9</w:t>
      </w:r>
      <w:r w:rsidRPr="00AB335D">
        <w:rPr>
          <w:color w:val="000000"/>
          <w:sz w:val="24"/>
          <w:szCs w:val="24"/>
        </w:rPr>
        <w:t>.</w:t>
      </w:r>
    </w:p>
    <w:p w:rsidR="00B42122" w:rsidRPr="00AB335D" w:rsidRDefault="00B42122" w:rsidP="00344A78">
      <w:pPr>
        <w:jc w:val="both"/>
        <w:rPr>
          <w:rFonts w:cstheme="minorHAnsi"/>
          <w:color w:val="000000"/>
          <w:sz w:val="24"/>
          <w:szCs w:val="24"/>
        </w:rPr>
      </w:pPr>
      <w:r w:rsidRPr="00AB335D">
        <w:rPr>
          <w:color w:val="000000"/>
          <w:sz w:val="24"/>
          <w:szCs w:val="24"/>
        </w:rPr>
        <w:t xml:space="preserve">Duela gutxi, eta minbiziaren aurkako estrategiari jarraikiz (2006 eta 2009), Estatuko Osasun Sistemaren oinarrizko zerbitzu-zorroan 50etik 69 urtera bitarteko emakume eta gizonei populazioaren baheketa egitea sartu da; horretarako, gorotzetan ezkutatutako odolaren bi urtez behingo testa egingo da eta </w:t>
      </w:r>
      <w:proofErr w:type="spellStart"/>
      <w:r w:rsidRPr="00AB335D">
        <w:rPr>
          <w:color w:val="000000"/>
          <w:sz w:val="24"/>
          <w:szCs w:val="24"/>
        </w:rPr>
        <w:t>kolonoskopia</w:t>
      </w:r>
      <w:proofErr w:type="spellEnd"/>
      <w:r w:rsidRPr="00AB335D">
        <w:rPr>
          <w:color w:val="000000"/>
          <w:sz w:val="24"/>
          <w:szCs w:val="24"/>
        </w:rPr>
        <w:t xml:space="preserve"> bidez egiaztatuko da diagnostikoa</w:t>
      </w:r>
      <w:r w:rsidRPr="00AB335D">
        <w:rPr>
          <w:color w:val="000000"/>
          <w:sz w:val="24"/>
          <w:szCs w:val="24"/>
          <w:vertAlign w:val="superscript"/>
        </w:rPr>
        <w:t>10</w:t>
      </w:r>
      <w:r w:rsidRPr="00AB335D">
        <w:rPr>
          <w:color w:val="000000"/>
          <w:sz w:val="24"/>
          <w:szCs w:val="24"/>
        </w:rPr>
        <w:t xml:space="preserve"> .</w:t>
      </w:r>
    </w:p>
    <w:p w:rsidR="00B42122" w:rsidRPr="00AB335D" w:rsidRDefault="00B42122" w:rsidP="00344A78">
      <w:pPr>
        <w:autoSpaceDE w:val="0"/>
        <w:autoSpaceDN w:val="0"/>
        <w:adjustRightInd w:val="0"/>
        <w:jc w:val="both"/>
        <w:rPr>
          <w:rFonts w:cstheme="minorHAnsi"/>
          <w:sz w:val="24"/>
          <w:szCs w:val="24"/>
        </w:rPr>
      </w:pPr>
      <w:r w:rsidRPr="00AB335D">
        <w:rPr>
          <w:sz w:val="24"/>
          <w:szCs w:val="24"/>
        </w:rPr>
        <w:t xml:space="preserve">Euskadiren kasuan, FIT erabiltzea aukeratu da, eta eskura dauden metodo baliodunak alderatu dira: </w:t>
      </w:r>
      <w:proofErr w:type="spellStart"/>
      <w:r w:rsidRPr="00AB335D">
        <w:rPr>
          <w:sz w:val="24"/>
          <w:szCs w:val="24"/>
        </w:rPr>
        <w:t>Sentinel</w:t>
      </w:r>
      <w:proofErr w:type="spellEnd"/>
      <w:r w:rsidRPr="00AB335D">
        <w:rPr>
          <w:sz w:val="24"/>
          <w:szCs w:val="24"/>
        </w:rPr>
        <w:t xml:space="preserve">® eta </w:t>
      </w:r>
      <w:proofErr w:type="spellStart"/>
      <w:r w:rsidRPr="00AB335D">
        <w:rPr>
          <w:sz w:val="24"/>
          <w:szCs w:val="24"/>
        </w:rPr>
        <w:t>OC-Sensor</w:t>
      </w:r>
      <w:proofErr w:type="spellEnd"/>
      <w:r w:rsidRPr="00AB335D">
        <w:rPr>
          <w:sz w:val="24"/>
          <w:szCs w:val="24"/>
        </w:rPr>
        <w:t>® 2009-2010ean</w:t>
      </w:r>
      <w:r w:rsidRPr="00AB335D">
        <w:rPr>
          <w:sz w:val="24"/>
          <w:szCs w:val="24"/>
          <w:vertAlign w:val="superscript"/>
        </w:rPr>
        <w:t>11</w:t>
      </w:r>
      <w:r w:rsidRPr="00AB335D">
        <w:rPr>
          <w:sz w:val="24"/>
          <w:szCs w:val="24"/>
        </w:rPr>
        <w:t xml:space="preserve">. 2010eko bigarren seihilekotik aurrera, </w:t>
      </w:r>
      <w:proofErr w:type="spellStart"/>
      <w:r w:rsidRPr="00AB335D">
        <w:rPr>
          <w:sz w:val="24"/>
          <w:szCs w:val="24"/>
        </w:rPr>
        <w:t>OC-Sensor</w:t>
      </w:r>
      <w:proofErr w:type="spellEnd"/>
      <w:r w:rsidRPr="00AB335D">
        <w:rPr>
          <w:sz w:val="24"/>
          <w:szCs w:val="24"/>
        </w:rPr>
        <w:t xml:space="preserve">® erabiltzen da; ebaketa-puntua 20μ/g gorozki da, hau da, 100 </w:t>
      </w:r>
      <w:proofErr w:type="spellStart"/>
      <w:r w:rsidRPr="00AB335D">
        <w:rPr>
          <w:sz w:val="24"/>
          <w:szCs w:val="24"/>
        </w:rPr>
        <w:t>ng/ml</w:t>
      </w:r>
      <w:proofErr w:type="spellEnd"/>
      <w:r w:rsidRPr="00AB335D">
        <w:rPr>
          <w:sz w:val="24"/>
          <w:szCs w:val="24"/>
        </w:rPr>
        <w:t xml:space="preserve"> buffer-en baliokidea. </w:t>
      </w:r>
    </w:p>
    <w:p w:rsidR="00B42122" w:rsidRPr="00AB335D" w:rsidRDefault="00B42122" w:rsidP="00344A78">
      <w:pPr>
        <w:jc w:val="both"/>
        <w:rPr>
          <w:rFonts w:cstheme="minorHAnsi"/>
          <w:sz w:val="24"/>
          <w:szCs w:val="24"/>
        </w:rPr>
      </w:pPr>
      <w:r w:rsidRPr="00AB335D">
        <w:rPr>
          <w:sz w:val="24"/>
          <w:szCs w:val="24"/>
        </w:rPr>
        <w:lastRenderedPageBreak/>
        <w:t xml:space="preserve">Baheketa honen proba diagnostikoa eta urrezko estandarra </w:t>
      </w:r>
      <w:proofErr w:type="spellStart"/>
      <w:r w:rsidRPr="00AB335D">
        <w:rPr>
          <w:sz w:val="24"/>
          <w:szCs w:val="24"/>
        </w:rPr>
        <w:t>kolonoskopia</w:t>
      </w:r>
      <w:proofErr w:type="spellEnd"/>
      <w:r w:rsidRPr="00AB335D">
        <w:rPr>
          <w:sz w:val="24"/>
          <w:szCs w:val="24"/>
        </w:rPr>
        <w:t xml:space="preserve"> optiko osoa da (itsua ere ikusteraino), </w:t>
      </w:r>
      <w:proofErr w:type="spellStart"/>
      <w:r w:rsidRPr="00AB335D">
        <w:rPr>
          <w:sz w:val="24"/>
          <w:szCs w:val="24"/>
        </w:rPr>
        <w:t>sedazioarekin</w:t>
      </w:r>
      <w:proofErr w:type="spellEnd"/>
      <w:r w:rsidRPr="00AB335D">
        <w:rPr>
          <w:sz w:val="24"/>
          <w:szCs w:val="24"/>
        </w:rPr>
        <w:t xml:space="preserve">. </w:t>
      </w:r>
      <w:proofErr w:type="spellStart"/>
      <w:r w:rsidRPr="00AB335D">
        <w:rPr>
          <w:sz w:val="24"/>
          <w:szCs w:val="24"/>
        </w:rPr>
        <w:t>Kolonoskopia</w:t>
      </w:r>
      <w:proofErr w:type="spellEnd"/>
      <w:r w:rsidRPr="00AB335D">
        <w:rPr>
          <w:sz w:val="24"/>
          <w:szCs w:val="24"/>
        </w:rPr>
        <w:t xml:space="preserve"> horrek konnotazio bereziak ditu; izan ere, diagnostikoa egiaztatzeko ez ezik, lesio </w:t>
      </w:r>
      <w:proofErr w:type="spellStart"/>
      <w:r w:rsidRPr="00AB335D">
        <w:rPr>
          <w:sz w:val="24"/>
          <w:szCs w:val="24"/>
        </w:rPr>
        <w:t>aurreneoplasikoak</w:t>
      </w:r>
      <w:proofErr w:type="spellEnd"/>
      <w:r w:rsidRPr="00AB335D">
        <w:rPr>
          <w:sz w:val="24"/>
          <w:szCs w:val="24"/>
        </w:rPr>
        <w:t xml:space="preserve"> erauzteko ere balio du, eta horri esker murriztu egin daitezke </w:t>
      </w:r>
      <w:proofErr w:type="spellStart"/>
      <w:r w:rsidRPr="00AB335D">
        <w:rPr>
          <w:sz w:val="24"/>
          <w:szCs w:val="24"/>
        </w:rPr>
        <w:t>neoplasia</w:t>
      </w:r>
      <w:proofErr w:type="spellEnd"/>
      <w:r w:rsidRPr="00AB335D">
        <w:rPr>
          <w:sz w:val="24"/>
          <w:szCs w:val="24"/>
        </w:rPr>
        <w:t xml:space="preserve"> honen intzidentzia eta heriotza-tasak herritarren artean, epe ertain eta luzera. </w:t>
      </w:r>
    </w:p>
    <w:p w:rsidR="00D739C4" w:rsidRPr="00AB335D" w:rsidRDefault="00362B1B" w:rsidP="00344A78">
      <w:pPr>
        <w:spacing w:before="120" w:afterLines="120" w:after="288"/>
        <w:jc w:val="both"/>
        <w:rPr>
          <w:rFonts w:cstheme="minorHAnsi"/>
          <w:sz w:val="24"/>
          <w:szCs w:val="24"/>
        </w:rPr>
      </w:pPr>
      <w:proofErr w:type="spellStart"/>
      <w:r w:rsidRPr="00AB335D">
        <w:rPr>
          <w:sz w:val="24"/>
          <w:szCs w:val="24"/>
        </w:rPr>
        <w:t>KOMaren</w:t>
      </w:r>
      <w:proofErr w:type="spellEnd"/>
      <w:r w:rsidRPr="00AB335D">
        <w:rPr>
          <w:sz w:val="24"/>
          <w:szCs w:val="24"/>
        </w:rPr>
        <w:t xml:space="preserve"> baheketari dagokionez, hainbat azterlanek agerian utzi dute kostu-eraginkortasun handiagoa duela, ezer </w:t>
      </w:r>
      <w:proofErr w:type="spellStart"/>
      <w:r w:rsidRPr="00AB335D">
        <w:rPr>
          <w:sz w:val="24"/>
          <w:szCs w:val="24"/>
        </w:rPr>
        <w:t>ez</w:t>
      </w:r>
      <w:proofErr w:type="spellEnd"/>
      <w:r w:rsidRPr="00AB335D">
        <w:rPr>
          <w:sz w:val="24"/>
          <w:szCs w:val="24"/>
        </w:rPr>
        <w:t xml:space="preserve"> egitearekin alderatuz gero</w:t>
      </w:r>
      <w:r w:rsidRPr="00AB335D">
        <w:rPr>
          <w:sz w:val="24"/>
          <w:szCs w:val="24"/>
          <w:vertAlign w:val="superscript"/>
        </w:rPr>
        <w:t>12-13</w:t>
      </w:r>
      <w:r w:rsidRPr="00AB335D">
        <w:rPr>
          <w:sz w:val="24"/>
          <w:szCs w:val="24"/>
        </w:rPr>
        <w:t>.</w:t>
      </w:r>
    </w:p>
    <w:p w:rsidR="000C1BB1" w:rsidRPr="00AB335D" w:rsidRDefault="000C1BB1" w:rsidP="00344A78">
      <w:pPr>
        <w:spacing w:before="120" w:afterLines="120" w:after="288"/>
        <w:jc w:val="both"/>
        <w:rPr>
          <w:rFonts w:cstheme="minorHAnsi"/>
          <w:sz w:val="24"/>
          <w:szCs w:val="24"/>
        </w:rPr>
      </w:pPr>
      <w:r w:rsidRPr="00AB335D">
        <w:rPr>
          <w:sz w:val="24"/>
          <w:szCs w:val="24"/>
        </w:rPr>
        <w:t xml:space="preserve">Gaur egun Euskadiren parte-hartzea duen COLONPREV azterlana ebaluatzen ari dira. Gorotzetan ezkutatutako odolaren testa eta </w:t>
      </w:r>
      <w:proofErr w:type="spellStart"/>
      <w:r w:rsidRPr="00AB335D">
        <w:rPr>
          <w:sz w:val="24"/>
          <w:szCs w:val="24"/>
        </w:rPr>
        <w:t>kolonoskopia</w:t>
      </w:r>
      <w:proofErr w:type="spellEnd"/>
      <w:r w:rsidRPr="00AB335D">
        <w:rPr>
          <w:sz w:val="24"/>
          <w:szCs w:val="24"/>
        </w:rPr>
        <w:t xml:space="preserve"> alderatzen dira, eta oso emaitza itxaropentsuak ari dira lortzen partaidetza- eta detekzio-tasen alderagarritasunari dagokionez. Horiei esker epe ertainera jakin ahal izango dugu zein estrategia den egokiena gure biztanleriarentzat</w:t>
      </w:r>
      <w:r w:rsidRPr="00AB335D">
        <w:rPr>
          <w:sz w:val="24"/>
          <w:szCs w:val="24"/>
          <w:vertAlign w:val="superscript"/>
        </w:rPr>
        <w:t>14</w:t>
      </w:r>
      <w:r w:rsidRPr="00AB335D">
        <w:rPr>
          <w:sz w:val="24"/>
          <w:szCs w:val="24"/>
        </w:rPr>
        <w:t>.</w:t>
      </w:r>
    </w:p>
    <w:p w:rsidR="003773E6" w:rsidRPr="00AB335D" w:rsidRDefault="00001B98" w:rsidP="00344A78">
      <w:pPr>
        <w:spacing w:before="120" w:afterLines="120" w:after="288"/>
        <w:jc w:val="both"/>
        <w:rPr>
          <w:rFonts w:cstheme="minorHAnsi"/>
          <w:sz w:val="24"/>
          <w:szCs w:val="24"/>
        </w:rPr>
      </w:pPr>
      <w:r w:rsidRPr="00AB335D">
        <w:rPr>
          <w:sz w:val="24"/>
          <w:szCs w:val="24"/>
        </w:rPr>
        <w:t>Euskadiko programa, Osasun Sailak 2008an onartu zuen Minbiziari buruzko Aholku Kontseiluaren proposamenari esker, 2009an jarri zen abian, 2008an balioztatutako 2003ko Europako gidalerroei jarraikiz</w:t>
      </w:r>
      <w:r w:rsidRPr="00AB335D">
        <w:rPr>
          <w:sz w:val="24"/>
          <w:szCs w:val="24"/>
          <w:vertAlign w:val="superscript"/>
        </w:rPr>
        <w:t>15</w:t>
      </w:r>
      <w:r w:rsidRPr="00AB335D">
        <w:rPr>
          <w:sz w:val="24"/>
          <w:szCs w:val="24"/>
        </w:rPr>
        <w:t>. Programaren helburua lesio aurre gaiztoak eta gaiztoak (</w:t>
      </w:r>
      <w:proofErr w:type="spellStart"/>
      <w:r w:rsidRPr="00AB335D">
        <w:rPr>
          <w:sz w:val="24"/>
          <w:szCs w:val="24"/>
        </w:rPr>
        <w:t>adenoma</w:t>
      </w:r>
      <w:proofErr w:type="spellEnd"/>
      <w:r w:rsidRPr="00AB335D">
        <w:rPr>
          <w:sz w:val="24"/>
          <w:szCs w:val="24"/>
        </w:rPr>
        <w:t xml:space="preserve"> aurreratuak eta minbizi inbaditzailea) garaiz detektatzea eta tratatzea da, intzidentzia eta heriotza-tasak murrizteko. </w:t>
      </w:r>
    </w:p>
    <w:p w:rsidR="00001B98" w:rsidRPr="00AB335D" w:rsidRDefault="00001B98" w:rsidP="00344A78">
      <w:pPr>
        <w:spacing w:before="120" w:afterLines="120" w:after="288"/>
        <w:jc w:val="both"/>
        <w:rPr>
          <w:rFonts w:cstheme="minorHAnsi"/>
          <w:b/>
          <w:sz w:val="24"/>
          <w:szCs w:val="24"/>
        </w:rPr>
      </w:pPr>
      <w:r w:rsidRPr="00AB335D">
        <w:rPr>
          <w:sz w:val="24"/>
          <w:szCs w:val="24"/>
        </w:rPr>
        <w:t xml:space="preserve">Azterlan honetan emaitza nagusiak aurkezten dira: parte-hartzea, lesioen detekzioa, </w:t>
      </w:r>
      <w:proofErr w:type="spellStart"/>
      <w:r w:rsidRPr="00AB335D">
        <w:rPr>
          <w:sz w:val="24"/>
          <w:szCs w:val="24"/>
        </w:rPr>
        <w:t>KOMen</w:t>
      </w:r>
      <w:proofErr w:type="spellEnd"/>
      <w:r w:rsidRPr="00AB335D">
        <w:rPr>
          <w:sz w:val="24"/>
          <w:szCs w:val="24"/>
        </w:rPr>
        <w:t xml:space="preserve"> estadioak, kontrako efektuak, programaren eraginkortasuna eta denbora-horizontea </w:t>
      </w:r>
      <w:proofErr w:type="spellStart"/>
      <w:r w:rsidRPr="00AB335D">
        <w:rPr>
          <w:sz w:val="24"/>
          <w:szCs w:val="24"/>
        </w:rPr>
        <w:t>MISCAN-Colon</w:t>
      </w:r>
      <w:proofErr w:type="spellEnd"/>
      <w:r w:rsidRPr="00AB335D">
        <w:rPr>
          <w:sz w:val="24"/>
          <w:szCs w:val="24"/>
        </w:rPr>
        <w:t xml:space="preserve"> simulazioaren bidez </w:t>
      </w:r>
      <w:r w:rsidRPr="00AB335D">
        <w:rPr>
          <w:sz w:val="24"/>
          <w:szCs w:val="24"/>
          <w:vertAlign w:val="superscript"/>
        </w:rPr>
        <w:t>16</w:t>
      </w:r>
      <w:r w:rsidRPr="00AB335D">
        <w:rPr>
          <w:sz w:val="24"/>
          <w:szCs w:val="24"/>
        </w:rPr>
        <w:t>.</w:t>
      </w:r>
    </w:p>
    <w:p w:rsidR="003773E6" w:rsidRPr="00AB335D" w:rsidRDefault="003773E6" w:rsidP="00344A78">
      <w:pPr>
        <w:pStyle w:val="Textoindependiente3"/>
        <w:spacing w:after="120"/>
        <w:jc w:val="both"/>
        <w:rPr>
          <w:rFonts w:asciiTheme="minorHAnsi" w:hAnsiTheme="minorHAnsi" w:cstheme="minorHAnsi"/>
          <w:sz w:val="24"/>
          <w:szCs w:val="24"/>
          <w:u w:val="single"/>
        </w:rPr>
      </w:pPr>
      <w:r w:rsidRPr="00AB335D">
        <w:rPr>
          <w:rFonts w:asciiTheme="minorHAnsi" w:hAnsiTheme="minorHAnsi"/>
          <w:sz w:val="24"/>
          <w:szCs w:val="24"/>
          <w:u w:val="single"/>
        </w:rPr>
        <w:t>Metodologia</w:t>
      </w:r>
    </w:p>
    <w:p w:rsidR="003773E6" w:rsidRPr="00AB335D" w:rsidRDefault="003773E6" w:rsidP="00344A78">
      <w:pPr>
        <w:pStyle w:val="Textoindependiente3"/>
        <w:spacing w:after="120"/>
        <w:jc w:val="both"/>
        <w:rPr>
          <w:rFonts w:asciiTheme="minorHAnsi" w:hAnsiTheme="minorHAnsi" w:cstheme="minorHAnsi"/>
          <w:b w:val="0"/>
          <w:sz w:val="24"/>
          <w:szCs w:val="24"/>
        </w:rPr>
      </w:pPr>
      <w:r w:rsidRPr="00AB335D">
        <w:rPr>
          <w:rFonts w:asciiTheme="minorHAnsi" w:hAnsiTheme="minorHAnsi"/>
          <w:b w:val="0"/>
          <w:sz w:val="24"/>
          <w:szCs w:val="24"/>
        </w:rPr>
        <w:t>Baheketaren antolaketa:</w:t>
      </w:r>
    </w:p>
    <w:p w:rsidR="001852F4" w:rsidRPr="00AB335D" w:rsidRDefault="001852F4" w:rsidP="00344A78">
      <w:pPr>
        <w:pStyle w:val="Textoindependiente3"/>
        <w:spacing w:after="120"/>
        <w:jc w:val="both"/>
        <w:rPr>
          <w:rFonts w:asciiTheme="minorHAnsi" w:hAnsiTheme="minorHAnsi" w:cstheme="minorHAnsi"/>
          <w:b w:val="0"/>
          <w:sz w:val="24"/>
          <w:szCs w:val="24"/>
        </w:rPr>
      </w:pPr>
      <w:r w:rsidRPr="00AB335D">
        <w:rPr>
          <w:rFonts w:asciiTheme="minorHAnsi" w:hAnsiTheme="minorHAnsi"/>
          <w:b w:val="0"/>
          <w:sz w:val="24"/>
          <w:szCs w:val="24"/>
        </w:rPr>
        <w:t>Baheketaren antolaketak premisa hauek betetzen ditu:</w:t>
      </w:r>
    </w:p>
    <w:p w:rsidR="001852F4" w:rsidRPr="00AB335D" w:rsidRDefault="001852F4" w:rsidP="00344A78">
      <w:pPr>
        <w:pStyle w:val="Prrafodelista"/>
        <w:numPr>
          <w:ilvl w:val="0"/>
          <w:numId w:val="2"/>
        </w:numPr>
        <w:spacing w:before="100" w:beforeAutospacing="1" w:after="100" w:afterAutospacing="1"/>
        <w:contextualSpacing w:val="0"/>
        <w:jc w:val="both"/>
        <w:rPr>
          <w:rFonts w:cstheme="minorHAnsi"/>
          <w:sz w:val="24"/>
          <w:szCs w:val="24"/>
        </w:rPr>
      </w:pPr>
      <w:r w:rsidRPr="00AB335D">
        <w:rPr>
          <w:sz w:val="24"/>
          <w:szCs w:val="24"/>
        </w:rPr>
        <w:t>Biztanleriaren araberakoa. 50 eta 69 urte bitarteko gizon eta emakumeei zuzendua (598.201 Eustat 2016ren arabera).</w:t>
      </w:r>
    </w:p>
    <w:p w:rsidR="001852F4" w:rsidRPr="00AB335D" w:rsidRDefault="001852F4" w:rsidP="00344A78">
      <w:pPr>
        <w:pStyle w:val="Prrafodelista"/>
        <w:numPr>
          <w:ilvl w:val="0"/>
          <w:numId w:val="2"/>
        </w:numPr>
        <w:spacing w:before="100" w:beforeAutospacing="1" w:after="100" w:afterAutospacing="1"/>
        <w:contextualSpacing w:val="0"/>
        <w:jc w:val="both"/>
        <w:rPr>
          <w:rFonts w:cstheme="minorHAnsi"/>
          <w:sz w:val="24"/>
          <w:szCs w:val="24"/>
        </w:rPr>
      </w:pPr>
      <w:r w:rsidRPr="00AB335D">
        <w:rPr>
          <w:sz w:val="24"/>
          <w:szCs w:val="24"/>
        </w:rPr>
        <w:t xml:space="preserve">Bi urtez behin. Test </w:t>
      </w:r>
      <w:proofErr w:type="spellStart"/>
      <w:r w:rsidRPr="00AB335D">
        <w:rPr>
          <w:sz w:val="24"/>
          <w:szCs w:val="24"/>
        </w:rPr>
        <w:t>immunokimiko</w:t>
      </w:r>
      <w:proofErr w:type="spellEnd"/>
      <w:r w:rsidRPr="00AB335D">
        <w:rPr>
          <w:sz w:val="24"/>
          <w:szCs w:val="24"/>
        </w:rPr>
        <w:t xml:space="preserve"> kuantitatiboa (FIT</w:t>
      </w:r>
      <w:proofErr w:type="spellStart"/>
      <w:r w:rsidRPr="00AB335D">
        <w:rPr>
          <w:sz w:val="24"/>
          <w:szCs w:val="24"/>
        </w:rPr>
        <w:t>).</w:t>
      </w:r>
      <w:proofErr w:type="spellEnd"/>
      <w:r w:rsidRPr="00AB335D">
        <w:rPr>
          <w:sz w:val="24"/>
          <w:szCs w:val="24"/>
        </w:rPr>
        <w:t xml:space="preserve"> Eten-puntua: 20µg </w:t>
      </w:r>
      <w:proofErr w:type="spellStart"/>
      <w:r w:rsidRPr="00AB335D">
        <w:rPr>
          <w:sz w:val="24"/>
          <w:szCs w:val="24"/>
        </w:rPr>
        <w:t>Hb</w:t>
      </w:r>
      <w:proofErr w:type="spellEnd"/>
      <w:r w:rsidRPr="00AB335D">
        <w:rPr>
          <w:sz w:val="24"/>
          <w:szCs w:val="24"/>
        </w:rPr>
        <w:t xml:space="preserve">/g gorozki. Lagin bakarra. </w:t>
      </w:r>
    </w:p>
    <w:p w:rsidR="001852F4" w:rsidRPr="00AB335D" w:rsidRDefault="001852F4" w:rsidP="00344A78">
      <w:pPr>
        <w:pStyle w:val="Prrafodelista"/>
        <w:numPr>
          <w:ilvl w:val="0"/>
          <w:numId w:val="2"/>
        </w:numPr>
        <w:spacing w:before="100" w:beforeAutospacing="1" w:after="100" w:afterAutospacing="1"/>
        <w:contextualSpacing w:val="0"/>
        <w:jc w:val="both"/>
        <w:rPr>
          <w:rFonts w:cstheme="minorHAnsi"/>
          <w:sz w:val="24"/>
          <w:szCs w:val="24"/>
        </w:rPr>
      </w:pPr>
      <w:r w:rsidRPr="00AB335D">
        <w:rPr>
          <w:sz w:val="24"/>
          <w:szCs w:val="24"/>
        </w:rPr>
        <w:t>Lagina bidali egiten da eta testaren emaitza etxean bertan jasotzen da</w:t>
      </w:r>
    </w:p>
    <w:p w:rsidR="001852F4" w:rsidRPr="00AB335D" w:rsidRDefault="001852F4" w:rsidP="00344A78">
      <w:pPr>
        <w:pStyle w:val="Prrafodelista"/>
        <w:numPr>
          <w:ilvl w:val="0"/>
          <w:numId w:val="2"/>
        </w:numPr>
        <w:spacing w:before="100" w:beforeAutospacing="1" w:after="100" w:afterAutospacing="1"/>
        <w:contextualSpacing w:val="0"/>
        <w:jc w:val="both"/>
        <w:rPr>
          <w:rFonts w:cstheme="minorHAnsi"/>
          <w:sz w:val="24"/>
          <w:szCs w:val="24"/>
        </w:rPr>
      </w:pPr>
      <w:r w:rsidRPr="00AB335D">
        <w:rPr>
          <w:sz w:val="24"/>
          <w:szCs w:val="24"/>
        </w:rPr>
        <w:t xml:space="preserve">Kasu positibo guztietan </w:t>
      </w:r>
      <w:proofErr w:type="spellStart"/>
      <w:r w:rsidRPr="00AB335D">
        <w:rPr>
          <w:sz w:val="24"/>
          <w:szCs w:val="24"/>
        </w:rPr>
        <w:t>kolonoskopia</w:t>
      </w:r>
      <w:proofErr w:type="spellEnd"/>
      <w:r w:rsidRPr="00AB335D">
        <w:rPr>
          <w:sz w:val="24"/>
          <w:szCs w:val="24"/>
        </w:rPr>
        <w:t xml:space="preserve"> egiten da </w:t>
      </w:r>
      <w:proofErr w:type="spellStart"/>
      <w:r w:rsidRPr="00AB335D">
        <w:rPr>
          <w:sz w:val="24"/>
          <w:szCs w:val="24"/>
        </w:rPr>
        <w:t>sedazioarekin</w:t>
      </w:r>
      <w:proofErr w:type="spellEnd"/>
      <w:r w:rsidRPr="00AB335D">
        <w:rPr>
          <w:sz w:val="24"/>
          <w:szCs w:val="24"/>
        </w:rPr>
        <w:t>.</w:t>
      </w:r>
    </w:p>
    <w:p w:rsidR="001852F4" w:rsidRPr="00AB335D" w:rsidRDefault="001852F4" w:rsidP="00344A78">
      <w:pPr>
        <w:pStyle w:val="Prrafodelista"/>
        <w:numPr>
          <w:ilvl w:val="0"/>
          <w:numId w:val="2"/>
        </w:numPr>
        <w:spacing w:before="100" w:beforeAutospacing="1" w:after="100" w:afterAutospacing="1"/>
        <w:contextualSpacing w:val="0"/>
        <w:jc w:val="both"/>
        <w:rPr>
          <w:rFonts w:cstheme="minorHAnsi"/>
          <w:sz w:val="24"/>
          <w:szCs w:val="24"/>
        </w:rPr>
      </w:pPr>
      <w:r w:rsidRPr="00AB335D">
        <w:rPr>
          <w:sz w:val="24"/>
          <w:szCs w:val="24"/>
        </w:rPr>
        <w:t>Lehen Mailako Arretaren inplikazioa prozesu osoan.</w:t>
      </w:r>
    </w:p>
    <w:p w:rsidR="001852F4" w:rsidRPr="00AB335D" w:rsidRDefault="001852F4" w:rsidP="00344A78">
      <w:pPr>
        <w:pStyle w:val="Prrafodelista"/>
        <w:numPr>
          <w:ilvl w:val="0"/>
          <w:numId w:val="2"/>
        </w:numPr>
        <w:spacing w:before="100" w:beforeAutospacing="1" w:after="100" w:afterAutospacing="1"/>
        <w:contextualSpacing w:val="0"/>
        <w:jc w:val="both"/>
        <w:rPr>
          <w:rFonts w:cstheme="minorHAnsi"/>
          <w:sz w:val="24"/>
          <w:szCs w:val="24"/>
        </w:rPr>
      </w:pPr>
      <w:r w:rsidRPr="00AB335D">
        <w:rPr>
          <w:sz w:val="24"/>
          <w:szCs w:val="24"/>
        </w:rPr>
        <w:t xml:space="preserve">Informazio-sistema </w:t>
      </w:r>
      <w:proofErr w:type="spellStart"/>
      <w:r w:rsidRPr="00AB335D">
        <w:rPr>
          <w:sz w:val="24"/>
          <w:szCs w:val="24"/>
        </w:rPr>
        <w:t>interoperatiboa</w:t>
      </w:r>
      <w:proofErr w:type="spellEnd"/>
      <w:r w:rsidRPr="00AB335D">
        <w:rPr>
          <w:sz w:val="24"/>
          <w:szCs w:val="24"/>
        </w:rPr>
        <w:t xml:space="preserve"> historia klinikoarekin eta datu-base klinikoekin (prozeduren erregistroa, ospitaleko </w:t>
      </w:r>
      <w:proofErr w:type="spellStart"/>
      <w:r w:rsidRPr="00AB335D">
        <w:rPr>
          <w:sz w:val="24"/>
          <w:szCs w:val="24"/>
        </w:rPr>
        <w:t>altak</w:t>
      </w:r>
      <w:proofErr w:type="spellEnd"/>
      <w:r w:rsidRPr="00AB335D">
        <w:rPr>
          <w:sz w:val="24"/>
          <w:szCs w:val="24"/>
        </w:rPr>
        <w:t>, tumoreen ospitale-erregistroak, tumoreen populazio-erregistroak eta heriotza-tasen erregistroak).</w:t>
      </w:r>
    </w:p>
    <w:p w:rsidR="001852F4" w:rsidRPr="00AB335D" w:rsidRDefault="001852F4" w:rsidP="00344A78">
      <w:pPr>
        <w:pStyle w:val="Prrafodelista"/>
        <w:numPr>
          <w:ilvl w:val="0"/>
          <w:numId w:val="2"/>
        </w:numPr>
        <w:spacing w:before="100" w:beforeAutospacing="1" w:after="100" w:afterAutospacing="1"/>
        <w:contextualSpacing w:val="0"/>
        <w:jc w:val="both"/>
        <w:rPr>
          <w:rFonts w:cstheme="minorHAnsi"/>
          <w:sz w:val="24"/>
          <w:szCs w:val="24"/>
        </w:rPr>
      </w:pPr>
      <w:r w:rsidRPr="00AB335D">
        <w:rPr>
          <w:sz w:val="24"/>
          <w:szCs w:val="24"/>
        </w:rPr>
        <w:t xml:space="preserve">Zentralizatutako koordinazioa </w:t>
      </w:r>
    </w:p>
    <w:p w:rsidR="001852F4" w:rsidRPr="00AB335D" w:rsidRDefault="001852F4" w:rsidP="00344A78">
      <w:pPr>
        <w:pStyle w:val="Prrafodelista"/>
        <w:numPr>
          <w:ilvl w:val="0"/>
          <w:numId w:val="2"/>
        </w:numPr>
        <w:spacing w:before="100" w:beforeAutospacing="1" w:after="100" w:afterAutospacing="1"/>
        <w:contextualSpacing w:val="0"/>
        <w:jc w:val="both"/>
        <w:rPr>
          <w:rFonts w:cstheme="minorHAnsi"/>
          <w:sz w:val="24"/>
          <w:szCs w:val="24"/>
        </w:rPr>
      </w:pPr>
      <w:r w:rsidRPr="00AB335D">
        <w:rPr>
          <w:sz w:val="24"/>
          <w:szCs w:val="24"/>
        </w:rPr>
        <w:t xml:space="preserve">Prozesuen eta emaitzen kalitate-sistema bat, zeinak aukera emango baitu aurretiaz indarrean dauden Praktika Klinikoen Gidei (PKG) jarraikiz ezarri diren </w:t>
      </w:r>
      <w:r w:rsidRPr="00AB335D">
        <w:rPr>
          <w:sz w:val="24"/>
          <w:szCs w:val="24"/>
        </w:rPr>
        <w:lastRenderedPageBreak/>
        <w:t>adierazleak modu sistematiko eta jarraituan monitorizatzeko eta hobekuntza-neurriak martxan jartzeko.</w:t>
      </w:r>
    </w:p>
    <w:p w:rsidR="009132CD" w:rsidRPr="00AB335D" w:rsidRDefault="009132CD" w:rsidP="00344A78">
      <w:pPr>
        <w:spacing w:before="100" w:beforeAutospacing="1" w:after="100" w:afterAutospacing="1"/>
        <w:jc w:val="both"/>
        <w:rPr>
          <w:rFonts w:cstheme="minorHAnsi"/>
          <w:sz w:val="24"/>
          <w:szCs w:val="24"/>
        </w:rPr>
      </w:pPr>
      <w:r w:rsidRPr="00AB335D">
        <w:rPr>
          <w:sz w:val="24"/>
          <w:szCs w:val="24"/>
        </w:rPr>
        <w:t>Gonbidapen-metodoa, gutunak eta protokoloak Osakidetzaren webgunean daude jasota euskaraz eta gazteleraz</w:t>
      </w:r>
      <w:r w:rsidRPr="00AB335D">
        <w:rPr>
          <w:sz w:val="24"/>
          <w:szCs w:val="24"/>
          <w:vertAlign w:val="superscript"/>
        </w:rPr>
        <w:t>17</w:t>
      </w:r>
      <w:r w:rsidRPr="00AB335D">
        <w:rPr>
          <w:sz w:val="24"/>
          <w:szCs w:val="24"/>
        </w:rPr>
        <w:t>. 1. Irudian gonbidapenerako eta jarraipenerako metodo orokorra ikus daiteke.</w:t>
      </w:r>
    </w:p>
    <w:p w:rsidR="009132CD" w:rsidRDefault="009132CD" w:rsidP="00344A78">
      <w:pPr>
        <w:spacing w:before="100" w:beforeAutospacing="1" w:after="100" w:afterAutospacing="1"/>
        <w:jc w:val="both"/>
        <w:rPr>
          <w:b/>
          <w:sz w:val="24"/>
          <w:szCs w:val="24"/>
        </w:rPr>
      </w:pPr>
      <w:r w:rsidRPr="00AB335D">
        <w:rPr>
          <w:b/>
          <w:sz w:val="24"/>
          <w:szCs w:val="24"/>
        </w:rPr>
        <w:t>1. irudia. Baheketaren eta jarraipen-prozesuaren metodo orokorra emaitza negatiboko eta positiboko parte-hartzaileekin.</w:t>
      </w:r>
    </w:p>
    <w:p w:rsidR="007C6AFE" w:rsidRPr="00AB335D" w:rsidRDefault="00453C73" w:rsidP="00453C73">
      <w:pPr>
        <w:spacing w:before="100" w:beforeAutospacing="1" w:after="100" w:afterAutospacing="1"/>
        <w:jc w:val="both"/>
        <w:rPr>
          <w:rFonts w:cstheme="minorHAnsi"/>
          <w:b/>
          <w:sz w:val="24"/>
          <w:szCs w:val="24"/>
        </w:rPr>
      </w:pPr>
      <w:r>
        <w:rPr>
          <w:rFonts w:cstheme="minorHAnsi"/>
          <w:b/>
          <w:noProof/>
          <w:sz w:val="24"/>
          <w:szCs w:val="24"/>
          <w:lang w:val="es-ES" w:eastAsia="es-ES"/>
        </w:rPr>
        <w:drawing>
          <wp:inline distT="0" distB="0" distL="0" distR="0" wp14:anchorId="163EEF72">
            <wp:extent cx="5844196" cy="4361260"/>
            <wp:effectExtent l="0" t="0" r="444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0970" cy="4366315"/>
                    </a:xfrm>
                    <a:prstGeom prst="rect">
                      <a:avLst/>
                    </a:prstGeom>
                    <a:noFill/>
                  </pic:spPr>
                </pic:pic>
              </a:graphicData>
            </a:graphic>
          </wp:inline>
        </w:drawing>
      </w:r>
    </w:p>
    <w:p w:rsidR="009132CD" w:rsidRPr="00AB335D" w:rsidRDefault="009132CD" w:rsidP="00344A78">
      <w:pPr>
        <w:spacing w:before="100" w:beforeAutospacing="1" w:after="100" w:afterAutospacing="1"/>
        <w:jc w:val="both"/>
        <w:rPr>
          <w:rFonts w:cstheme="minorHAnsi"/>
          <w:sz w:val="24"/>
          <w:szCs w:val="24"/>
        </w:rPr>
      </w:pPr>
    </w:p>
    <w:p w:rsidR="00F53009" w:rsidRPr="00AB335D" w:rsidRDefault="001852F4" w:rsidP="00344A78">
      <w:pPr>
        <w:jc w:val="both"/>
        <w:rPr>
          <w:rFonts w:cstheme="minorHAnsi"/>
          <w:sz w:val="24"/>
          <w:szCs w:val="24"/>
        </w:rPr>
      </w:pPr>
      <w:r w:rsidRPr="00AB335D">
        <w:rPr>
          <w:sz w:val="24"/>
          <w:szCs w:val="24"/>
        </w:rPr>
        <w:t xml:space="preserve">Prozesuaren adierazleak eta emaitzak bat datoz PKG eta Minbiziaren Baheketa Sarearekin </w:t>
      </w:r>
      <w:r w:rsidRPr="00AB335D">
        <w:rPr>
          <w:sz w:val="24"/>
          <w:szCs w:val="24"/>
          <w:vertAlign w:val="superscript"/>
        </w:rPr>
        <w:t>19</w:t>
      </w:r>
      <w:r w:rsidRPr="00AB335D">
        <w:rPr>
          <w:sz w:val="24"/>
          <w:szCs w:val="24"/>
        </w:rPr>
        <w:t>.</w:t>
      </w:r>
    </w:p>
    <w:p w:rsidR="003A2105" w:rsidRPr="00AB335D" w:rsidRDefault="007A2757" w:rsidP="00344A78">
      <w:pPr>
        <w:pStyle w:val="Prrafodelista"/>
        <w:numPr>
          <w:ilvl w:val="0"/>
          <w:numId w:val="3"/>
        </w:numPr>
        <w:jc w:val="both"/>
        <w:rPr>
          <w:rFonts w:cstheme="minorHAnsi"/>
          <w:sz w:val="24"/>
          <w:szCs w:val="24"/>
        </w:rPr>
      </w:pPr>
      <w:r w:rsidRPr="00AB335D">
        <w:rPr>
          <w:sz w:val="24"/>
          <w:szCs w:val="24"/>
        </w:rPr>
        <w:t>Estaldura: Programak gonbidatutako jomuga-populazioa</w:t>
      </w:r>
    </w:p>
    <w:p w:rsidR="0039094E" w:rsidRPr="00AB335D" w:rsidRDefault="0039094E" w:rsidP="00344A78">
      <w:pPr>
        <w:pStyle w:val="Prrafodelista"/>
        <w:numPr>
          <w:ilvl w:val="0"/>
          <w:numId w:val="3"/>
        </w:numPr>
        <w:jc w:val="both"/>
        <w:rPr>
          <w:rFonts w:cstheme="minorHAnsi"/>
          <w:sz w:val="24"/>
          <w:szCs w:val="24"/>
        </w:rPr>
      </w:pPr>
      <w:r w:rsidRPr="00AB335D">
        <w:rPr>
          <w:sz w:val="24"/>
          <w:szCs w:val="24"/>
        </w:rPr>
        <w:t xml:space="preserve">Herritar aukeragarriak: gonbidapenaren unean inolako baztertze-irizpiderik betetzen ez duen jomuga-populazioa (KOM, </w:t>
      </w:r>
      <w:proofErr w:type="spellStart"/>
      <w:r w:rsidRPr="00AB335D">
        <w:rPr>
          <w:sz w:val="24"/>
          <w:szCs w:val="24"/>
        </w:rPr>
        <w:t>kolonoskopia</w:t>
      </w:r>
      <w:proofErr w:type="spellEnd"/>
      <w:r w:rsidRPr="00AB335D">
        <w:rPr>
          <w:sz w:val="24"/>
          <w:szCs w:val="24"/>
        </w:rPr>
        <w:t xml:space="preserve"> ≤ 5 urte, </w:t>
      </w:r>
      <w:proofErr w:type="spellStart"/>
      <w:r w:rsidRPr="00AB335D">
        <w:rPr>
          <w:sz w:val="24"/>
          <w:szCs w:val="24"/>
        </w:rPr>
        <w:t>kolektomia</w:t>
      </w:r>
      <w:proofErr w:type="spellEnd"/>
      <w:r w:rsidRPr="00AB335D">
        <w:rPr>
          <w:sz w:val="24"/>
          <w:szCs w:val="24"/>
        </w:rPr>
        <w:t xml:space="preserve"> osoa, gaixotasun terminala, beste batzuk)</w:t>
      </w:r>
    </w:p>
    <w:p w:rsidR="007A2757" w:rsidRPr="00AB335D" w:rsidRDefault="007A2757" w:rsidP="00344A78">
      <w:pPr>
        <w:pStyle w:val="Prrafodelista"/>
        <w:numPr>
          <w:ilvl w:val="0"/>
          <w:numId w:val="3"/>
        </w:numPr>
        <w:jc w:val="both"/>
        <w:rPr>
          <w:rFonts w:cstheme="minorHAnsi"/>
          <w:sz w:val="24"/>
          <w:szCs w:val="24"/>
        </w:rPr>
      </w:pPr>
      <w:r w:rsidRPr="00AB335D">
        <w:rPr>
          <w:sz w:val="24"/>
          <w:szCs w:val="24"/>
        </w:rPr>
        <w:t>Baliozko gonbidapenak: helbide zuzena duten gonbidapenak</w:t>
      </w:r>
    </w:p>
    <w:p w:rsidR="007A2757" w:rsidRPr="00AB335D" w:rsidRDefault="007A2757" w:rsidP="00344A78">
      <w:pPr>
        <w:pStyle w:val="Prrafodelista"/>
        <w:numPr>
          <w:ilvl w:val="0"/>
          <w:numId w:val="3"/>
        </w:numPr>
        <w:jc w:val="both"/>
        <w:rPr>
          <w:rFonts w:cstheme="minorHAnsi"/>
          <w:sz w:val="24"/>
          <w:szCs w:val="24"/>
        </w:rPr>
      </w:pPr>
      <w:r w:rsidRPr="00AB335D">
        <w:rPr>
          <w:sz w:val="24"/>
          <w:szCs w:val="24"/>
        </w:rPr>
        <w:lastRenderedPageBreak/>
        <w:t xml:space="preserve">Parte-hartzea: </w:t>
      </w:r>
      <w:proofErr w:type="spellStart"/>
      <w:r w:rsidRPr="00AB335D">
        <w:rPr>
          <w:sz w:val="24"/>
          <w:szCs w:val="24"/>
        </w:rPr>
        <w:t>kit-a</w:t>
      </w:r>
      <w:proofErr w:type="spellEnd"/>
      <w:r w:rsidRPr="00AB335D">
        <w:rPr>
          <w:sz w:val="24"/>
          <w:szCs w:val="24"/>
        </w:rPr>
        <w:t xml:space="preserve"> Osasun Zentroan entregatu duten pertsonak eta baliozko emaitza dutenak (</w:t>
      </w:r>
      <w:proofErr w:type="spellStart"/>
      <w:r w:rsidRPr="00AB335D">
        <w:rPr>
          <w:sz w:val="24"/>
          <w:szCs w:val="24"/>
        </w:rPr>
        <w:t>positiboa/negatiboa)</w:t>
      </w:r>
      <w:proofErr w:type="spellEnd"/>
    </w:p>
    <w:p w:rsidR="007A2757" w:rsidRPr="00AB335D" w:rsidRDefault="007A2757" w:rsidP="00344A78">
      <w:pPr>
        <w:pStyle w:val="Prrafodelista"/>
        <w:numPr>
          <w:ilvl w:val="0"/>
          <w:numId w:val="3"/>
        </w:numPr>
        <w:jc w:val="both"/>
        <w:rPr>
          <w:rFonts w:cstheme="minorHAnsi"/>
          <w:sz w:val="24"/>
          <w:szCs w:val="24"/>
        </w:rPr>
      </w:pPr>
      <w:r w:rsidRPr="00AB335D">
        <w:rPr>
          <w:sz w:val="24"/>
          <w:szCs w:val="24"/>
        </w:rPr>
        <w:t xml:space="preserve">Positibotasuna: testaren emaitza ≥ 20µg </w:t>
      </w:r>
      <w:proofErr w:type="spellStart"/>
      <w:r w:rsidRPr="00AB335D">
        <w:rPr>
          <w:sz w:val="24"/>
          <w:szCs w:val="24"/>
        </w:rPr>
        <w:t>Hb</w:t>
      </w:r>
      <w:proofErr w:type="spellEnd"/>
      <w:r w:rsidRPr="00AB335D">
        <w:rPr>
          <w:sz w:val="24"/>
          <w:szCs w:val="24"/>
        </w:rPr>
        <w:t xml:space="preserve">/g gorotz (≥ 100ng </w:t>
      </w:r>
      <w:proofErr w:type="spellStart"/>
      <w:r w:rsidRPr="00AB335D">
        <w:rPr>
          <w:sz w:val="24"/>
          <w:szCs w:val="24"/>
        </w:rPr>
        <w:t>Hb</w:t>
      </w:r>
      <w:proofErr w:type="spellEnd"/>
      <w:r w:rsidRPr="00AB335D">
        <w:rPr>
          <w:sz w:val="24"/>
          <w:szCs w:val="24"/>
        </w:rPr>
        <w:t>/ml buffer-en baliokidea)</w:t>
      </w:r>
    </w:p>
    <w:p w:rsidR="007A2757" w:rsidRPr="00AB335D" w:rsidRDefault="005D1CAE" w:rsidP="00344A78">
      <w:pPr>
        <w:pStyle w:val="Prrafodelista"/>
        <w:numPr>
          <w:ilvl w:val="0"/>
          <w:numId w:val="3"/>
        </w:numPr>
        <w:jc w:val="both"/>
        <w:rPr>
          <w:rFonts w:cstheme="minorHAnsi"/>
          <w:sz w:val="24"/>
          <w:szCs w:val="24"/>
        </w:rPr>
      </w:pPr>
      <w:r w:rsidRPr="00AB335D">
        <w:rPr>
          <w:sz w:val="24"/>
          <w:szCs w:val="24"/>
        </w:rPr>
        <w:t xml:space="preserve">Behin betiko diagnostikoko </w:t>
      </w:r>
      <w:proofErr w:type="spellStart"/>
      <w:r w:rsidRPr="00AB335D">
        <w:rPr>
          <w:sz w:val="24"/>
          <w:szCs w:val="24"/>
        </w:rPr>
        <w:t>kolonoskopia</w:t>
      </w:r>
      <w:proofErr w:type="spellEnd"/>
      <w:r w:rsidRPr="00AB335D">
        <w:rPr>
          <w:sz w:val="24"/>
          <w:szCs w:val="24"/>
        </w:rPr>
        <w:t xml:space="preserve">: testean emaitza positiboa izan duten pertsonak eta </w:t>
      </w:r>
      <w:proofErr w:type="spellStart"/>
      <w:r w:rsidRPr="00AB335D">
        <w:rPr>
          <w:sz w:val="24"/>
          <w:szCs w:val="24"/>
        </w:rPr>
        <w:t>kolonoskopia</w:t>
      </w:r>
      <w:proofErr w:type="spellEnd"/>
      <w:r w:rsidRPr="00AB335D">
        <w:rPr>
          <w:sz w:val="24"/>
          <w:szCs w:val="24"/>
        </w:rPr>
        <w:t xml:space="preserve"> bidez diagnostikoa egiaztatu zaienak (behin betiko emaitza).</w:t>
      </w:r>
    </w:p>
    <w:p w:rsidR="007A2757" w:rsidRPr="00AB335D" w:rsidRDefault="007A2757" w:rsidP="00344A78">
      <w:pPr>
        <w:pStyle w:val="Prrafodelista"/>
        <w:numPr>
          <w:ilvl w:val="0"/>
          <w:numId w:val="3"/>
        </w:numPr>
        <w:jc w:val="both"/>
        <w:rPr>
          <w:rFonts w:cstheme="minorHAnsi"/>
          <w:sz w:val="24"/>
          <w:szCs w:val="24"/>
        </w:rPr>
      </w:pPr>
      <w:proofErr w:type="spellStart"/>
      <w:r w:rsidRPr="00AB335D">
        <w:rPr>
          <w:sz w:val="24"/>
          <w:szCs w:val="24"/>
        </w:rPr>
        <w:t>Kolonoskopia</w:t>
      </w:r>
      <w:proofErr w:type="spellEnd"/>
      <w:r w:rsidRPr="00AB335D">
        <w:rPr>
          <w:sz w:val="24"/>
          <w:szCs w:val="24"/>
        </w:rPr>
        <w:t xml:space="preserve"> osoa: itsuraino iristen den </w:t>
      </w:r>
      <w:proofErr w:type="spellStart"/>
      <w:r w:rsidRPr="00AB335D">
        <w:rPr>
          <w:sz w:val="24"/>
          <w:szCs w:val="24"/>
        </w:rPr>
        <w:t>kolonoskopia</w:t>
      </w:r>
      <w:proofErr w:type="spellEnd"/>
    </w:p>
    <w:p w:rsidR="005D1CAE" w:rsidRPr="00AB335D" w:rsidRDefault="005D1CAE" w:rsidP="00344A78">
      <w:pPr>
        <w:pStyle w:val="Prrafodelista"/>
        <w:numPr>
          <w:ilvl w:val="0"/>
          <w:numId w:val="3"/>
        </w:numPr>
        <w:jc w:val="both"/>
        <w:rPr>
          <w:rFonts w:cstheme="minorHAnsi"/>
          <w:sz w:val="24"/>
          <w:szCs w:val="24"/>
        </w:rPr>
      </w:pPr>
      <w:r w:rsidRPr="00AB335D">
        <w:rPr>
          <w:sz w:val="24"/>
          <w:szCs w:val="24"/>
        </w:rPr>
        <w:t>Koloneko mukosaren prestaketa egokia: Bostonen eskala ≥ 6 puntu</w:t>
      </w:r>
    </w:p>
    <w:p w:rsidR="007A2757" w:rsidRPr="00AB335D" w:rsidRDefault="007A2757" w:rsidP="00344A78">
      <w:pPr>
        <w:pStyle w:val="Prrafodelista"/>
        <w:numPr>
          <w:ilvl w:val="0"/>
          <w:numId w:val="3"/>
        </w:numPr>
        <w:jc w:val="both"/>
        <w:rPr>
          <w:rFonts w:cstheme="minorHAnsi"/>
          <w:sz w:val="24"/>
          <w:szCs w:val="24"/>
        </w:rPr>
      </w:pPr>
      <w:proofErr w:type="spellStart"/>
      <w:r w:rsidRPr="00AB335D">
        <w:rPr>
          <w:sz w:val="24"/>
          <w:szCs w:val="24"/>
        </w:rPr>
        <w:t>Kolonoskopiaren</w:t>
      </w:r>
      <w:proofErr w:type="spellEnd"/>
      <w:r w:rsidRPr="00AB335D">
        <w:rPr>
          <w:sz w:val="24"/>
          <w:szCs w:val="24"/>
        </w:rPr>
        <w:t xml:space="preserve"> emaitza: a) Normala; b) polipo </w:t>
      </w:r>
      <w:proofErr w:type="spellStart"/>
      <w:r w:rsidRPr="00AB335D">
        <w:rPr>
          <w:sz w:val="24"/>
          <w:szCs w:val="24"/>
        </w:rPr>
        <w:t>hiperplasikoak</w:t>
      </w:r>
      <w:proofErr w:type="spellEnd"/>
      <w:r w:rsidRPr="00AB335D">
        <w:rPr>
          <w:sz w:val="24"/>
          <w:szCs w:val="24"/>
        </w:rPr>
        <w:t xml:space="preserve">; c) Arrisku Txikiko </w:t>
      </w:r>
      <w:proofErr w:type="spellStart"/>
      <w:r w:rsidRPr="00AB335D">
        <w:rPr>
          <w:sz w:val="24"/>
          <w:szCs w:val="24"/>
        </w:rPr>
        <w:t>Adenomak</w:t>
      </w:r>
      <w:proofErr w:type="spellEnd"/>
      <w:r w:rsidRPr="00AB335D">
        <w:rPr>
          <w:sz w:val="24"/>
          <w:szCs w:val="24"/>
        </w:rPr>
        <w:t xml:space="preserve"> (1-2 </w:t>
      </w:r>
      <w:proofErr w:type="spellStart"/>
      <w:r w:rsidRPr="00AB335D">
        <w:rPr>
          <w:sz w:val="24"/>
          <w:szCs w:val="24"/>
        </w:rPr>
        <w:t>adenoma</w:t>
      </w:r>
      <w:proofErr w:type="spellEnd"/>
      <w:r w:rsidRPr="00AB335D">
        <w:rPr>
          <w:sz w:val="24"/>
          <w:szCs w:val="24"/>
        </w:rPr>
        <w:t xml:space="preserve"> </w:t>
      </w:r>
      <w:proofErr w:type="spellStart"/>
      <w:r w:rsidRPr="00AB335D">
        <w:rPr>
          <w:sz w:val="24"/>
          <w:szCs w:val="24"/>
        </w:rPr>
        <w:t>eta/edo</w:t>
      </w:r>
      <w:proofErr w:type="spellEnd"/>
      <w:r w:rsidRPr="00AB335D">
        <w:rPr>
          <w:sz w:val="24"/>
          <w:szCs w:val="24"/>
        </w:rPr>
        <w:t xml:space="preserve"> &lt;10mm </w:t>
      </w:r>
      <w:proofErr w:type="spellStart"/>
      <w:r w:rsidRPr="00AB335D">
        <w:rPr>
          <w:sz w:val="24"/>
          <w:szCs w:val="24"/>
        </w:rPr>
        <w:t>eta/edo</w:t>
      </w:r>
      <w:proofErr w:type="spellEnd"/>
      <w:r w:rsidRPr="00AB335D">
        <w:rPr>
          <w:sz w:val="24"/>
          <w:szCs w:val="24"/>
        </w:rPr>
        <w:t xml:space="preserve"> gradu baxuko </w:t>
      </w:r>
      <w:proofErr w:type="spellStart"/>
      <w:r w:rsidRPr="00AB335D">
        <w:rPr>
          <w:sz w:val="24"/>
          <w:szCs w:val="24"/>
        </w:rPr>
        <w:t>displasia</w:t>
      </w:r>
      <w:proofErr w:type="spellEnd"/>
      <w:r w:rsidRPr="00AB335D">
        <w:rPr>
          <w:sz w:val="24"/>
          <w:szCs w:val="24"/>
        </w:rPr>
        <w:t xml:space="preserve">); d) Arrisku Ertaineko </w:t>
      </w:r>
      <w:proofErr w:type="spellStart"/>
      <w:r w:rsidRPr="00AB335D">
        <w:rPr>
          <w:sz w:val="24"/>
          <w:szCs w:val="24"/>
        </w:rPr>
        <w:t>Adenomak</w:t>
      </w:r>
      <w:proofErr w:type="spellEnd"/>
      <w:r w:rsidRPr="00AB335D">
        <w:rPr>
          <w:sz w:val="24"/>
          <w:szCs w:val="24"/>
        </w:rPr>
        <w:t xml:space="preserve"> (&gt;3 </w:t>
      </w:r>
      <w:proofErr w:type="spellStart"/>
      <w:r w:rsidRPr="00AB335D">
        <w:rPr>
          <w:sz w:val="24"/>
          <w:szCs w:val="24"/>
        </w:rPr>
        <w:t>adenoma</w:t>
      </w:r>
      <w:proofErr w:type="spellEnd"/>
      <w:r w:rsidRPr="00AB335D">
        <w:rPr>
          <w:sz w:val="24"/>
          <w:szCs w:val="24"/>
        </w:rPr>
        <w:t xml:space="preserve"> eta &lt;5 </w:t>
      </w:r>
      <w:proofErr w:type="spellStart"/>
      <w:r w:rsidRPr="00AB335D">
        <w:rPr>
          <w:sz w:val="24"/>
          <w:szCs w:val="24"/>
        </w:rPr>
        <w:t>eta/edo</w:t>
      </w:r>
      <w:proofErr w:type="spellEnd"/>
      <w:r w:rsidRPr="00AB335D">
        <w:rPr>
          <w:sz w:val="24"/>
          <w:szCs w:val="24"/>
        </w:rPr>
        <w:t xml:space="preserve"> ≥10mm eta &lt; 20 mm </w:t>
      </w:r>
      <w:proofErr w:type="spellStart"/>
      <w:r w:rsidRPr="00AB335D">
        <w:rPr>
          <w:sz w:val="24"/>
          <w:szCs w:val="24"/>
        </w:rPr>
        <w:t>eta/edo</w:t>
      </w:r>
      <w:proofErr w:type="spellEnd"/>
      <w:r w:rsidRPr="00AB335D">
        <w:rPr>
          <w:sz w:val="24"/>
          <w:szCs w:val="24"/>
        </w:rPr>
        <w:t xml:space="preserve"> osagai bilotsua </w:t>
      </w:r>
      <w:proofErr w:type="spellStart"/>
      <w:r w:rsidRPr="00AB335D">
        <w:rPr>
          <w:sz w:val="24"/>
          <w:szCs w:val="24"/>
        </w:rPr>
        <w:t>eta/edo</w:t>
      </w:r>
      <w:proofErr w:type="spellEnd"/>
      <w:r w:rsidRPr="00AB335D">
        <w:rPr>
          <w:sz w:val="24"/>
          <w:szCs w:val="24"/>
        </w:rPr>
        <w:t xml:space="preserve"> gradu altuko </w:t>
      </w:r>
      <w:proofErr w:type="spellStart"/>
      <w:r w:rsidRPr="00AB335D">
        <w:rPr>
          <w:sz w:val="24"/>
          <w:szCs w:val="24"/>
        </w:rPr>
        <w:t>displasia</w:t>
      </w:r>
      <w:proofErr w:type="spellEnd"/>
      <w:r w:rsidRPr="00AB335D">
        <w:rPr>
          <w:sz w:val="24"/>
          <w:szCs w:val="24"/>
        </w:rPr>
        <w:t xml:space="preserve">); e) Arrisku Handiko </w:t>
      </w:r>
      <w:proofErr w:type="spellStart"/>
      <w:r w:rsidRPr="00AB335D">
        <w:rPr>
          <w:sz w:val="24"/>
          <w:szCs w:val="24"/>
        </w:rPr>
        <w:t>Adenomak</w:t>
      </w:r>
      <w:proofErr w:type="spellEnd"/>
      <w:r w:rsidRPr="00AB335D">
        <w:rPr>
          <w:sz w:val="24"/>
          <w:szCs w:val="24"/>
        </w:rPr>
        <w:t xml:space="preserve"> (&gt; 5 </w:t>
      </w:r>
      <w:proofErr w:type="spellStart"/>
      <w:r w:rsidRPr="00AB335D">
        <w:rPr>
          <w:sz w:val="24"/>
          <w:szCs w:val="24"/>
        </w:rPr>
        <w:t>adenoma</w:t>
      </w:r>
      <w:proofErr w:type="spellEnd"/>
      <w:r w:rsidRPr="00AB335D">
        <w:rPr>
          <w:sz w:val="24"/>
          <w:szCs w:val="24"/>
        </w:rPr>
        <w:t xml:space="preserve"> </w:t>
      </w:r>
      <w:proofErr w:type="spellStart"/>
      <w:r w:rsidRPr="00AB335D">
        <w:rPr>
          <w:sz w:val="24"/>
          <w:szCs w:val="24"/>
        </w:rPr>
        <w:t>eta/edo</w:t>
      </w:r>
      <w:proofErr w:type="spellEnd"/>
      <w:r w:rsidRPr="00AB335D">
        <w:rPr>
          <w:sz w:val="24"/>
          <w:szCs w:val="24"/>
        </w:rPr>
        <w:t xml:space="preserve"> ≥ 20mm</w:t>
      </w:r>
      <w:proofErr w:type="spellStart"/>
      <w:r w:rsidRPr="00AB335D">
        <w:rPr>
          <w:sz w:val="24"/>
          <w:szCs w:val="24"/>
        </w:rPr>
        <w:t>); f</w:t>
      </w:r>
      <w:proofErr w:type="spellEnd"/>
      <w:r w:rsidRPr="00AB335D">
        <w:rPr>
          <w:sz w:val="24"/>
          <w:szCs w:val="24"/>
        </w:rPr>
        <w:t>) KOM (kasu guztiak ≥ pT1</w:t>
      </w:r>
      <w:proofErr w:type="spellStart"/>
      <w:r w:rsidRPr="00AB335D">
        <w:rPr>
          <w:sz w:val="24"/>
          <w:szCs w:val="24"/>
        </w:rPr>
        <w:t xml:space="preserve">); </w:t>
      </w:r>
      <w:proofErr w:type="spellEnd"/>
      <w:r w:rsidRPr="00AB335D">
        <w:rPr>
          <w:sz w:val="24"/>
          <w:szCs w:val="24"/>
        </w:rPr>
        <w:t xml:space="preserve">beste patologia aipagarri bat (hesteetako gaixotasun </w:t>
      </w:r>
      <w:proofErr w:type="spellStart"/>
      <w:r w:rsidRPr="00AB335D">
        <w:rPr>
          <w:sz w:val="24"/>
          <w:szCs w:val="24"/>
        </w:rPr>
        <w:t>inflamatorioa</w:t>
      </w:r>
      <w:proofErr w:type="spellEnd"/>
      <w:r w:rsidRPr="00AB335D">
        <w:rPr>
          <w:sz w:val="24"/>
          <w:szCs w:val="24"/>
        </w:rPr>
        <w:t>).</w:t>
      </w:r>
    </w:p>
    <w:p w:rsidR="007A2757" w:rsidRPr="00AB335D" w:rsidRDefault="007A2757" w:rsidP="00344A78">
      <w:pPr>
        <w:pStyle w:val="Prrafodelista"/>
        <w:numPr>
          <w:ilvl w:val="0"/>
          <w:numId w:val="3"/>
        </w:numPr>
        <w:jc w:val="both"/>
        <w:rPr>
          <w:rFonts w:cstheme="minorHAnsi"/>
          <w:sz w:val="24"/>
          <w:szCs w:val="24"/>
        </w:rPr>
      </w:pPr>
      <w:r w:rsidRPr="00AB335D">
        <w:rPr>
          <w:sz w:val="24"/>
          <w:szCs w:val="24"/>
        </w:rPr>
        <w:t xml:space="preserve">Konplikazioak 0-30 egunen barruan: beheko odoljario </w:t>
      </w:r>
      <w:proofErr w:type="spellStart"/>
      <w:r w:rsidRPr="00AB335D">
        <w:rPr>
          <w:sz w:val="24"/>
          <w:szCs w:val="24"/>
        </w:rPr>
        <w:t>digestiboa</w:t>
      </w:r>
      <w:proofErr w:type="spellEnd"/>
      <w:r w:rsidRPr="00AB335D">
        <w:rPr>
          <w:sz w:val="24"/>
          <w:szCs w:val="24"/>
        </w:rPr>
        <w:t xml:space="preserve">, zulaketa, </w:t>
      </w:r>
      <w:proofErr w:type="spellStart"/>
      <w:r w:rsidRPr="00AB335D">
        <w:rPr>
          <w:sz w:val="24"/>
          <w:szCs w:val="24"/>
        </w:rPr>
        <w:t>polipektomia</w:t>
      </w:r>
      <w:proofErr w:type="spellEnd"/>
      <w:r w:rsidRPr="00AB335D">
        <w:rPr>
          <w:sz w:val="24"/>
          <w:szCs w:val="24"/>
        </w:rPr>
        <w:t xml:space="preserve"> osteko sindromea, </w:t>
      </w:r>
      <w:proofErr w:type="spellStart"/>
      <w:r w:rsidRPr="00AB335D">
        <w:rPr>
          <w:sz w:val="24"/>
          <w:szCs w:val="24"/>
        </w:rPr>
        <w:t>sedazio</w:t>
      </w:r>
      <w:proofErr w:type="spellEnd"/>
      <w:r w:rsidRPr="00AB335D">
        <w:rPr>
          <w:sz w:val="24"/>
          <w:szCs w:val="24"/>
        </w:rPr>
        <w:t xml:space="preserve"> ostekoa, beste batzuk.</w:t>
      </w:r>
    </w:p>
    <w:p w:rsidR="007A2757" w:rsidRPr="00AB335D" w:rsidRDefault="007A2757" w:rsidP="00344A78">
      <w:pPr>
        <w:pStyle w:val="Prrafodelista"/>
        <w:numPr>
          <w:ilvl w:val="0"/>
          <w:numId w:val="3"/>
        </w:numPr>
        <w:jc w:val="both"/>
        <w:rPr>
          <w:rFonts w:cstheme="minorHAnsi"/>
          <w:sz w:val="24"/>
          <w:szCs w:val="24"/>
        </w:rPr>
      </w:pPr>
      <w:r w:rsidRPr="00AB335D">
        <w:rPr>
          <w:sz w:val="24"/>
          <w:szCs w:val="24"/>
        </w:rPr>
        <w:t xml:space="preserve">Detektatutako eta detektatu gabeko minbiziak: FIT emaitza positibo baten ondoren </w:t>
      </w:r>
      <w:proofErr w:type="spellStart"/>
      <w:r w:rsidRPr="00AB335D">
        <w:rPr>
          <w:sz w:val="24"/>
          <w:szCs w:val="24"/>
        </w:rPr>
        <w:t>kolonoskopia</w:t>
      </w:r>
      <w:proofErr w:type="spellEnd"/>
      <w:r w:rsidRPr="00AB335D">
        <w:rPr>
          <w:sz w:val="24"/>
          <w:szCs w:val="24"/>
        </w:rPr>
        <w:t xml:space="preserve"> bidez detektatutako KOM, eta FIT emaitza negatibo baten ondoren </w:t>
      </w:r>
      <w:proofErr w:type="spellStart"/>
      <w:r w:rsidRPr="00AB335D">
        <w:rPr>
          <w:sz w:val="24"/>
          <w:szCs w:val="24"/>
        </w:rPr>
        <w:t>sintomatologia</w:t>
      </w:r>
      <w:proofErr w:type="spellEnd"/>
      <w:r w:rsidRPr="00AB335D">
        <w:rPr>
          <w:sz w:val="24"/>
          <w:szCs w:val="24"/>
        </w:rPr>
        <w:t xml:space="preserve"> bidez detektatutako KOM (bitarteko minbizia).</w:t>
      </w:r>
    </w:p>
    <w:p w:rsidR="007A2757" w:rsidRPr="00AB335D" w:rsidRDefault="007A2757" w:rsidP="00344A78">
      <w:pPr>
        <w:pStyle w:val="Prrafodelista"/>
        <w:numPr>
          <w:ilvl w:val="0"/>
          <w:numId w:val="3"/>
        </w:numPr>
        <w:jc w:val="both"/>
        <w:rPr>
          <w:rFonts w:cstheme="minorHAnsi"/>
          <w:sz w:val="24"/>
          <w:szCs w:val="24"/>
        </w:rPr>
      </w:pPr>
      <w:r w:rsidRPr="00AB335D">
        <w:rPr>
          <w:sz w:val="24"/>
          <w:szCs w:val="24"/>
        </w:rPr>
        <w:t>Minbizien estadioa:  AJCC (</w:t>
      </w:r>
      <w:proofErr w:type="spellStart"/>
      <w:r w:rsidRPr="00AB335D">
        <w:rPr>
          <w:sz w:val="24"/>
          <w:szCs w:val="24"/>
        </w:rPr>
        <w:t>I-V</w:t>
      </w:r>
      <w:proofErr w:type="spellEnd"/>
      <w:r w:rsidRPr="00AB335D">
        <w:rPr>
          <w:sz w:val="24"/>
          <w:szCs w:val="24"/>
        </w:rPr>
        <w:t>)</w:t>
      </w:r>
      <w:proofErr w:type="spellStart"/>
      <w:r w:rsidRPr="00AB335D">
        <w:rPr>
          <w:sz w:val="24"/>
          <w:szCs w:val="24"/>
        </w:rPr>
        <w:t>ri</w:t>
      </w:r>
      <w:proofErr w:type="spellEnd"/>
      <w:r w:rsidRPr="00AB335D">
        <w:rPr>
          <w:sz w:val="24"/>
          <w:szCs w:val="24"/>
        </w:rPr>
        <w:t xml:space="preserve"> jarraikiz</w:t>
      </w:r>
      <w:r w:rsidRPr="00AB335D">
        <w:rPr>
          <w:sz w:val="24"/>
          <w:szCs w:val="24"/>
          <w:vertAlign w:val="superscript"/>
        </w:rPr>
        <w:t>18</w:t>
      </w:r>
    </w:p>
    <w:p w:rsidR="00E92B38" w:rsidRPr="00AB335D" w:rsidRDefault="00E92B38" w:rsidP="00344A78">
      <w:pPr>
        <w:jc w:val="both"/>
        <w:rPr>
          <w:rFonts w:cstheme="minorHAnsi"/>
          <w:sz w:val="24"/>
          <w:szCs w:val="24"/>
        </w:rPr>
      </w:pPr>
      <w:r w:rsidRPr="00AB335D">
        <w:rPr>
          <w:sz w:val="24"/>
          <w:szCs w:val="24"/>
        </w:rPr>
        <w:t xml:space="preserve">Datuen iturriak: Baheketa Programa, Historia Klinikoa (Osabide Global), Ospitaleko </w:t>
      </w:r>
      <w:proofErr w:type="spellStart"/>
      <w:r w:rsidRPr="00AB335D">
        <w:rPr>
          <w:sz w:val="24"/>
          <w:szCs w:val="24"/>
        </w:rPr>
        <w:t>Altak</w:t>
      </w:r>
      <w:proofErr w:type="spellEnd"/>
      <w:r w:rsidRPr="00AB335D">
        <w:rPr>
          <w:sz w:val="24"/>
          <w:szCs w:val="24"/>
        </w:rPr>
        <w:t>, Minbiziaren Ospitaleko Erregistroa eta Minbiziaren Populazio Erregistroa, Heriotza Tasen Erregistroa, Eustat, INDEF.</w:t>
      </w:r>
    </w:p>
    <w:p w:rsidR="005012BB" w:rsidRPr="00AB335D" w:rsidRDefault="005012BB" w:rsidP="00344A78">
      <w:pPr>
        <w:jc w:val="both"/>
        <w:rPr>
          <w:rFonts w:cstheme="minorHAnsi"/>
          <w:sz w:val="24"/>
          <w:szCs w:val="24"/>
        </w:rPr>
      </w:pPr>
      <w:r w:rsidRPr="00AB335D">
        <w:rPr>
          <w:sz w:val="24"/>
          <w:szCs w:val="24"/>
        </w:rPr>
        <w:t xml:space="preserve">Programa 2008an onartu zenetik izandako hedapena ezagutzeko 2009-2017tik egindako gonbidapen guztiak aztertu ziren. Gainerako adierazleak lortzeko 2016ra arte egindako gonbidapenen datuak aztertu ziren, </w:t>
      </w:r>
      <w:proofErr w:type="spellStart"/>
      <w:r w:rsidRPr="00AB335D">
        <w:rPr>
          <w:sz w:val="24"/>
          <w:szCs w:val="24"/>
        </w:rPr>
        <w:t>KOMen</w:t>
      </w:r>
      <w:proofErr w:type="spellEnd"/>
      <w:r w:rsidRPr="00AB335D">
        <w:rPr>
          <w:sz w:val="24"/>
          <w:szCs w:val="24"/>
        </w:rPr>
        <w:t xml:space="preserve"> diagnostiko bidezko egiaztapen- eta jarraipen-prozesu guztiak amaitutzat eman baitziren.  Adin-taldeen eta sexuaren araberako datuak aztertzeko (2009-2014) SPSS v23.0 eta R programen bidez estatistika hauek erabili ziren: </w:t>
      </w:r>
      <w:proofErr w:type="spellStart"/>
      <w:r w:rsidRPr="00AB335D">
        <w:rPr>
          <w:sz w:val="24"/>
          <w:szCs w:val="24"/>
        </w:rPr>
        <w:t>Chi</w:t>
      </w:r>
      <w:proofErr w:type="spellEnd"/>
      <w:r w:rsidRPr="00AB335D">
        <w:rPr>
          <w:sz w:val="24"/>
          <w:szCs w:val="24"/>
        </w:rPr>
        <w:t xml:space="preserve"> karratua, joera tenporalak, 2x2 taula eta </w:t>
      </w:r>
      <w:proofErr w:type="spellStart"/>
      <w:r w:rsidRPr="00AB335D">
        <w:rPr>
          <w:sz w:val="24"/>
          <w:szCs w:val="24"/>
        </w:rPr>
        <w:t>Kaplan-Meyer</w:t>
      </w:r>
      <w:proofErr w:type="spellEnd"/>
      <w:r w:rsidRPr="00AB335D">
        <w:rPr>
          <w:sz w:val="24"/>
          <w:szCs w:val="24"/>
        </w:rPr>
        <w:t xml:space="preserve"> kurbak. Bestalde, </w:t>
      </w:r>
      <w:proofErr w:type="spellStart"/>
      <w:r w:rsidRPr="00AB335D">
        <w:rPr>
          <w:sz w:val="24"/>
          <w:szCs w:val="24"/>
        </w:rPr>
        <w:t>MISCAN-Colon</w:t>
      </w:r>
      <w:proofErr w:type="spellEnd"/>
      <w:r w:rsidRPr="00AB335D">
        <w:rPr>
          <w:sz w:val="24"/>
          <w:szCs w:val="24"/>
        </w:rPr>
        <w:t xml:space="preserve"> tresna erabili zen intzidentziaren eta heriotza-tasen joerak behatzeko.</w:t>
      </w:r>
    </w:p>
    <w:p w:rsidR="00066439" w:rsidRPr="00AB335D" w:rsidRDefault="00066439" w:rsidP="00344A78">
      <w:pPr>
        <w:jc w:val="both"/>
        <w:rPr>
          <w:rFonts w:cstheme="minorHAnsi"/>
          <w:b/>
          <w:sz w:val="24"/>
          <w:szCs w:val="24"/>
          <w:u w:val="single"/>
        </w:rPr>
      </w:pPr>
      <w:r w:rsidRPr="00AB335D">
        <w:rPr>
          <w:b/>
          <w:sz w:val="24"/>
          <w:szCs w:val="24"/>
          <w:u w:val="single"/>
        </w:rPr>
        <w:t>Emaitza nagusiak</w:t>
      </w:r>
    </w:p>
    <w:p w:rsidR="00F53009" w:rsidRPr="00AB335D" w:rsidRDefault="00E92B38" w:rsidP="00344A78">
      <w:pPr>
        <w:jc w:val="both"/>
        <w:rPr>
          <w:rFonts w:cstheme="minorHAnsi"/>
          <w:sz w:val="24"/>
          <w:szCs w:val="24"/>
        </w:rPr>
      </w:pPr>
      <w:r w:rsidRPr="00AB335D">
        <w:rPr>
          <w:sz w:val="24"/>
          <w:szCs w:val="24"/>
        </w:rPr>
        <w:t xml:space="preserve">Programaren estaldura lehen gonbidapenean 2014. urtearen hasieran lortu zen; hori bai, hedapena ez da berdina izan erakunde guztietan; programak 50-69 urte bitarteko populazioari zuzenduta bi urtez behingo gonbidapenak egiten jarraitzen du; 2017aren amaieran % 100, % 90 eta % 47ko estaldura lortu zen bigarren, hirugarren eta laugarren gonbidapenetan, hurrenez hurren. </w:t>
      </w:r>
    </w:p>
    <w:p w:rsidR="00F53009" w:rsidRPr="00AB335D" w:rsidRDefault="002901C7" w:rsidP="00344A78">
      <w:pPr>
        <w:jc w:val="both"/>
        <w:rPr>
          <w:rFonts w:cstheme="minorHAnsi"/>
          <w:sz w:val="24"/>
          <w:szCs w:val="24"/>
        </w:rPr>
      </w:pPr>
      <w:r w:rsidRPr="00AB335D">
        <w:rPr>
          <w:sz w:val="24"/>
          <w:szCs w:val="24"/>
        </w:rPr>
        <w:lastRenderedPageBreak/>
        <w:t>Egindako 1.426.846 baliozko gonbidapenetatik parte-hartzea nabarmen igo da 2009tik. Emakumeen parte-hartzea gizonena baino handiagoa da (p &lt; 0,001) 1. grafikoan ikusten den bezala.</w:t>
      </w:r>
    </w:p>
    <w:p w:rsidR="000A751D" w:rsidRPr="00AB335D" w:rsidRDefault="00306FE1" w:rsidP="00344A78">
      <w:pPr>
        <w:jc w:val="both"/>
        <w:rPr>
          <w:rFonts w:cstheme="minorHAnsi"/>
          <w:sz w:val="24"/>
          <w:szCs w:val="24"/>
        </w:rPr>
      </w:pPr>
      <w:r w:rsidRPr="00AB335D">
        <w:rPr>
          <w:b/>
          <w:sz w:val="24"/>
          <w:szCs w:val="24"/>
        </w:rPr>
        <w:t xml:space="preserve">1. Grafikoa. </w:t>
      </w:r>
      <w:proofErr w:type="spellStart"/>
      <w:r w:rsidRPr="00AB335D">
        <w:rPr>
          <w:b/>
          <w:bCs/>
          <w:sz w:val="24"/>
          <w:szCs w:val="24"/>
        </w:rPr>
        <w:t>Tasas</w:t>
      </w:r>
      <w:proofErr w:type="spellEnd"/>
      <w:r w:rsidRPr="00AB335D">
        <w:rPr>
          <w:b/>
          <w:bCs/>
          <w:sz w:val="24"/>
          <w:szCs w:val="24"/>
        </w:rPr>
        <w:t xml:space="preserve"> de </w:t>
      </w:r>
      <w:proofErr w:type="spellStart"/>
      <w:r w:rsidRPr="00AB335D">
        <w:rPr>
          <w:b/>
          <w:bCs/>
          <w:sz w:val="24"/>
          <w:szCs w:val="24"/>
        </w:rPr>
        <w:t>participación</w:t>
      </w:r>
      <w:proofErr w:type="spellEnd"/>
      <w:r w:rsidRPr="00AB335D">
        <w:rPr>
          <w:b/>
          <w:bCs/>
          <w:sz w:val="24"/>
          <w:szCs w:val="24"/>
        </w:rPr>
        <w:t xml:space="preserve"> 2009-2016</w:t>
      </w:r>
    </w:p>
    <w:p w:rsidR="000A751D" w:rsidRPr="00AB335D" w:rsidRDefault="00D2175D" w:rsidP="00344A78">
      <w:pPr>
        <w:jc w:val="both"/>
        <w:rPr>
          <w:rFonts w:cstheme="minorHAnsi"/>
          <w:sz w:val="24"/>
          <w:szCs w:val="24"/>
        </w:rPr>
      </w:pPr>
      <w:r w:rsidRPr="00AB335D">
        <w:rPr>
          <w:rFonts w:cstheme="minorHAnsi"/>
          <w:noProof/>
          <w:sz w:val="24"/>
          <w:szCs w:val="24"/>
          <w:lang w:val="es-ES" w:eastAsia="es-ES"/>
        </w:rPr>
        <w:drawing>
          <wp:inline distT="0" distB="0" distL="0" distR="0" wp14:anchorId="64326F4E" wp14:editId="7DE4FB71">
            <wp:extent cx="5343525" cy="229552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4AE9" w:rsidRPr="00AB335D" w:rsidRDefault="00ED74CA" w:rsidP="00344A78">
      <w:pPr>
        <w:jc w:val="both"/>
        <w:rPr>
          <w:rFonts w:cstheme="minorHAnsi"/>
          <w:sz w:val="24"/>
          <w:szCs w:val="24"/>
        </w:rPr>
      </w:pPr>
      <w:r w:rsidRPr="00AB335D">
        <w:rPr>
          <w:sz w:val="24"/>
          <w:szCs w:val="24"/>
        </w:rPr>
        <w:t xml:space="preserve">58.330 emaitza positiboetatik </w:t>
      </w:r>
      <w:proofErr w:type="spellStart"/>
      <w:r w:rsidRPr="00AB335D">
        <w:rPr>
          <w:sz w:val="24"/>
          <w:szCs w:val="24"/>
        </w:rPr>
        <w:t>kolonoskopiarekiko</w:t>
      </w:r>
      <w:proofErr w:type="spellEnd"/>
      <w:r w:rsidRPr="00AB335D">
        <w:rPr>
          <w:sz w:val="24"/>
          <w:szCs w:val="24"/>
        </w:rPr>
        <w:t xml:space="preserve"> % 95eko atxikidura erregistratu zen, eta egindako </w:t>
      </w:r>
      <w:proofErr w:type="spellStart"/>
      <w:r w:rsidRPr="00AB335D">
        <w:rPr>
          <w:sz w:val="24"/>
          <w:szCs w:val="24"/>
        </w:rPr>
        <w:t>kolonoskopien</w:t>
      </w:r>
      <w:proofErr w:type="spellEnd"/>
      <w:r w:rsidRPr="00AB335D">
        <w:rPr>
          <w:sz w:val="24"/>
          <w:szCs w:val="24"/>
        </w:rPr>
        <w:t xml:space="preserve"> % 93an (54.236) emaitza behin betikoa izan zen. </w:t>
      </w:r>
      <w:proofErr w:type="spellStart"/>
      <w:r w:rsidRPr="00AB335D">
        <w:rPr>
          <w:sz w:val="24"/>
          <w:szCs w:val="24"/>
        </w:rPr>
        <w:t>Kolonoskopia</w:t>
      </w:r>
      <w:proofErr w:type="spellEnd"/>
      <w:r w:rsidRPr="00AB335D">
        <w:rPr>
          <w:sz w:val="24"/>
          <w:szCs w:val="24"/>
        </w:rPr>
        <w:t xml:space="preserve"> osoen tasa % 98,8tik gorakoa izan zen; hori bai, kolon-prestaketa egokiaren tasa % 89,1ekoa izan zen (Boston ≥ 6).  Egindako </w:t>
      </w:r>
      <w:proofErr w:type="spellStart"/>
      <w:r w:rsidRPr="00AB335D">
        <w:rPr>
          <w:sz w:val="24"/>
          <w:szCs w:val="24"/>
        </w:rPr>
        <w:t>kolonoskopia</w:t>
      </w:r>
      <w:proofErr w:type="spellEnd"/>
      <w:r w:rsidRPr="00AB335D">
        <w:rPr>
          <w:sz w:val="24"/>
          <w:szCs w:val="24"/>
        </w:rPr>
        <w:t xml:space="preserve"> guztien % 0,7an konplikazio larriak aurkitu ziren eta ospitaleratzea beharrezkoa izan zen; konplikazio ohikoenak beheko odoljario </w:t>
      </w:r>
      <w:proofErr w:type="spellStart"/>
      <w:r w:rsidRPr="00AB335D">
        <w:rPr>
          <w:sz w:val="24"/>
          <w:szCs w:val="24"/>
        </w:rPr>
        <w:t>digestiboa</w:t>
      </w:r>
      <w:proofErr w:type="spellEnd"/>
      <w:r w:rsidRPr="00AB335D">
        <w:rPr>
          <w:sz w:val="24"/>
          <w:szCs w:val="24"/>
        </w:rPr>
        <w:t xml:space="preserve"> eta zulaketa izan ziren eta tratamendu kirurgiko edo kontserbatzailea behar izan zen. 1. Taulan </w:t>
      </w:r>
      <w:proofErr w:type="spellStart"/>
      <w:r w:rsidRPr="00AB335D">
        <w:rPr>
          <w:sz w:val="24"/>
          <w:szCs w:val="24"/>
        </w:rPr>
        <w:t>kolonoskopien</w:t>
      </w:r>
      <w:proofErr w:type="spellEnd"/>
      <w:r w:rsidRPr="00AB335D">
        <w:rPr>
          <w:sz w:val="24"/>
          <w:szCs w:val="24"/>
        </w:rPr>
        <w:t xml:space="preserve"> emaitzak xehatzen dira; gizonen kasuan </w:t>
      </w:r>
      <w:proofErr w:type="spellStart"/>
      <w:r w:rsidRPr="00AB335D">
        <w:rPr>
          <w:sz w:val="24"/>
          <w:szCs w:val="24"/>
        </w:rPr>
        <w:t>adenomak</w:t>
      </w:r>
      <w:proofErr w:type="spellEnd"/>
      <w:r w:rsidRPr="00AB335D">
        <w:rPr>
          <w:sz w:val="24"/>
          <w:szCs w:val="24"/>
        </w:rPr>
        <w:t xml:space="preserve"> eta minbizia duten pertsonen portzentajea nahiko handiagoa dela ikusten da (p&lt; 0,001</w:t>
      </w:r>
      <w:proofErr w:type="spellStart"/>
      <w:r w:rsidRPr="00AB335D">
        <w:rPr>
          <w:sz w:val="24"/>
          <w:szCs w:val="24"/>
        </w:rPr>
        <w:t>).</w:t>
      </w:r>
      <w:proofErr w:type="spellEnd"/>
      <w:r w:rsidRPr="00AB335D">
        <w:rPr>
          <w:sz w:val="24"/>
          <w:szCs w:val="24"/>
        </w:rPr>
        <w:t xml:space="preserve">  </w:t>
      </w:r>
    </w:p>
    <w:p w:rsidR="00571B49" w:rsidRPr="00AB335D" w:rsidRDefault="00571B49">
      <w:pPr>
        <w:rPr>
          <w:rFonts w:cstheme="minorHAnsi"/>
          <w:b/>
          <w:sz w:val="24"/>
          <w:szCs w:val="24"/>
        </w:rPr>
      </w:pPr>
      <w:r w:rsidRPr="00AB335D">
        <w:br w:type="page"/>
      </w:r>
    </w:p>
    <w:p w:rsidR="000306C8" w:rsidRPr="00AB335D" w:rsidRDefault="000306C8" w:rsidP="00344A78">
      <w:pPr>
        <w:jc w:val="both"/>
        <w:rPr>
          <w:rFonts w:cstheme="minorHAnsi"/>
          <w:b/>
          <w:sz w:val="24"/>
          <w:szCs w:val="24"/>
        </w:rPr>
      </w:pPr>
      <w:r w:rsidRPr="00AB335D">
        <w:rPr>
          <w:b/>
          <w:sz w:val="24"/>
          <w:szCs w:val="24"/>
        </w:rPr>
        <w:lastRenderedPageBreak/>
        <w:t xml:space="preserve">1. Taula. Detektatutako Lesioak. Behin betiko diagnostikoarekin egindako </w:t>
      </w:r>
      <w:proofErr w:type="spellStart"/>
      <w:r w:rsidRPr="00AB335D">
        <w:rPr>
          <w:b/>
          <w:sz w:val="24"/>
          <w:szCs w:val="24"/>
        </w:rPr>
        <w:t>kolonoskopiak</w:t>
      </w:r>
      <w:proofErr w:type="spellEnd"/>
      <w:r w:rsidRPr="00AB335D">
        <w:rPr>
          <w:b/>
          <w:sz w:val="24"/>
          <w:szCs w:val="24"/>
        </w:rPr>
        <w:t xml:space="preserve">  2009-2016 </w:t>
      </w:r>
    </w:p>
    <w:tbl>
      <w:tblPr>
        <w:tblW w:w="5800" w:type="dxa"/>
        <w:tblCellMar>
          <w:left w:w="0" w:type="dxa"/>
          <w:right w:w="0" w:type="dxa"/>
        </w:tblCellMar>
        <w:tblLook w:val="0600" w:firstRow="0" w:lastRow="0" w:firstColumn="0" w:lastColumn="0" w:noHBand="1" w:noVBand="1"/>
      </w:tblPr>
      <w:tblGrid>
        <w:gridCol w:w="1751"/>
        <w:gridCol w:w="703"/>
        <w:gridCol w:w="687"/>
        <w:gridCol w:w="582"/>
        <w:gridCol w:w="687"/>
        <w:gridCol w:w="703"/>
        <w:gridCol w:w="687"/>
      </w:tblGrid>
      <w:tr w:rsidR="00A26314" w:rsidRPr="00AB335D" w:rsidTr="00A26314">
        <w:trPr>
          <w:trHeight w:val="484"/>
        </w:trPr>
        <w:tc>
          <w:tcPr>
            <w:tcW w:w="1920" w:type="dxa"/>
            <w:tcBorders>
              <w:top w:val="single" w:sz="8" w:space="0" w:color="FFFFFF"/>
              <w:left w:val="single" w:sz="8" w:space="0" w:color="FFFFFF"/>
              <w:bottom w:val="single" w:sz="8" w:space="0" w:color="FFFFFF"/>
              <w:right w:val="single" w:sz="8" w:space="0" w:color="FFFFFF"/>
            </w:tcBorders>
            <w:shd w:val="clear" w:color="auto" w:fill="D99694"/>
            <w:tcMar>
              <w:top w:w="15" w:type="dxa"/>
              <w:left w:w="15" w:type="dxa"/>
              <w:bottom w:w="0" w:type="dxa"/>
              <w:right w:w="15" w:type="dxa"/>
            </w:tcMar>
            <w:vAlign w:val="center"/>
            <w:hideMark/>
          </w:tcPr>
          <w:p w:rsidR="008A59B3" w:rsidRPr="005B2834" w:rsidRDefault="008A59B3" w:rsidP="00344A78">
            <w:pPr>
              <w:jc w:val="both"/>
              <w:rPr>
                <w:rFonts w:cstheme="minorHAnsi"/>
                <w:sz w:val="24"/>
                <w:szCs w:val="24"/>
              </w:rPr>
            </w:pPr>
          </w:p>
        </w:tc>
        <w:tc>
          <w:tcPr>
            <w:tcW w:w="1300" w:type="dxa"/>
            <w:gridSpan w:val="2"/>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EMAKUMEAK</w:t>
            </w:r>
          </w:p>
        </w:tc>
        <w:tc>
          <w:tcPr>
            <w:tcW w:w="1300" w:type="dxa"/>
            <w:gridSpan w:val="2"/>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GIZONAK</w:t>
            </w:r>
          </w:p>
        </w:tc>
        <w:tc>
          <w:tcPr>
            <w:tcW w:w="1300" w:type="dxa"/>
            <w:gridSpan w:val="2"/>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GUZTIRA</w:t>
            </w:r>
          </w:p>
        </w:tc>
      </w:tr>
      <w:tr w:rsidR="00A26314" w:rsidRPr="00AB335D" w:rsidTr="00A26314">
        <w:trPr>
          <w:trHeight w:val="484"/>
        </w:trPr>
        <w:tc>
          <w:tcPr>
            <w:tcW w:w="1920" w:type="dxa"/>
            <w:tcBorders>
              <w:top w:val="single" w:sz="8" w:space="0" w:color="FFFFFF"/>
              <w:left w:val="single" w:sz="8" w:space="0" w:color="FFFFFF"/>
              <w:bottom w:val="single" w:sz="8" w:space="0" w:color="FFFFFF"/>
              <w:right w:val="single" w:sz="8" w:space="0" w:color="FFFFFF"/>
            </w:tcBorders>
            <w:shd w:val="clear" w:color="auto" w:fill="D99694"/>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NORMALA/ HIPERPLASIKOAK</w:t>
            </w:r>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10.870</w:t>
            </w:r>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xml:space="preserve">  % 48,7</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8.638</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27,1</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19.508</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36,0</w:t>
            </w:r>
          </w:p>
        </w:tc>
      </w:tr>
      <w:tr w:rsidR="00A26314" w:rsidRPr="00AB335D" w:rsidTr="00A26314">
        <w:trPr>
          <w:trHeight w:val="484"/>
        </w:trPr>
        <w:tc>
          <w:tcPr>
            <w:tcW w:w="1920" w:type="dxa"/>
            <w:tcBorders>
              <w:top w:val="single" w:sz="8" w:space="0" w:color="FFFFFF"/>
              <w:left w:val="single" w:sz="8" w:space="0" w:color="FFFFFF"/>
              <w:bottom w:val="single" w:sz="8" w:space="0" w:color="FFFFFF"/>
              <w:right w:val="single" w:sz="8" w:space="0" w:color="FFFFFF"/>
            </w:tcBorders>
            <w:shd w:val="clear" w:color="auto" w:fill="D99694"/>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xml:space="preserve">Arrisku txikiko </w:t>
            </w:r>
            <w:proofErr w:type="spellStart"/>
            <w:r w:rsidRPr="00AB335D">
              <w:rPr>
                <w:b/>
                <w:bCs/>
                <w:sz w:val="24"/>
                <w:szCs w:val="24"/>
              </w:rPr>
              <w:t>adenomak</w:t>
            </w:r>
            <w:proofErr w:type="spellEnd"/>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3.729</w:t>
            </w:r>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16,7</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5.754</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18,0</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9.483</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17,5</w:t>
            </w:r>
          </w:p>
        </w:tc>
      </w:tr>
      <w:tr w:rsidR="00A26314" w:rsidRPr="00AB335D" w:rsidTr="00A26314">
        <w:trPr>
          <w:trHeight w:val="484"/>
        </w:trPr>
        <w:tc>
          <w:tcPr>
            <w:tcW w:w="1920" w:type="dxa"/>
            <w:tcBorders>
              <w:top w:val="single" w:sz="8" w:space="0" w:color="FFFFFF"/>
              <w:left w:val="single" w:sz="8" w:space="0" w:color="FFFFFF"/>
              <w:bottom w:val="single" w:sz="8" w:space="0" w:color="FFFFFF"/>
              <w:right w:val="single" w:sz="8" w:space="0" w:color="FFFFFF"/>
            </w:tcBorders>
            <w:shd w:val="clear" w:color="auto" w:fill="D99694"/>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xml:space="preserve">Arrisku ertaineko </w:t>
            </w:r>
            <w:proofErr w:type="spellStart"/>
            <w:r w:rsidRPr="00AB335D">
              <w:rPr>
                <w:b/>
                <w:bCs/>
                <w:sz w:val="24"/>
                <w:szCs w:val="24"/>
              </w:rPr>
              <w:t>adenomak</w:t>
            </w:r>
            <w:proofErr w:type="spellEnd"/>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3.806</w:t>
            </w:r>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17,1</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7.913</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24,8</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11.719</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21,6</w:t>
            </w:r>
          </w:p>
        </w:tc>
      </w:tr>
      <w:tr w:rsidR="00A26314" w:rsidRPr="00AB335D" w:rsidTr="00A26314">
        <w:trPr>
          <w:trHeight w:val="484"/>
        </w:trPr>
        <w:tc>
          <w:tcPr>
            <w:tcW w:w="1920" w:type="dxa"/>
            <w:tcBorders>
              <w:top w:val="single" w:sz="8" w:space="0" w:color="FFFFFF"/>
              <w:left w:val="single" w:sz="8" w:space="0" w:color="FFFFFF"/>
              <w:bottom w:val="single" w:sz="8" w:space="0" w:color="FFFFFF"/>
              <w:right w:val="single" w:sz="8" w:space="0" w:color="FFFFFF"/>
            </w:tcBorders>
            <w:shd w:val="clear" w:color="auto" w:fill="D99694"/>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xml:space="preserve">Arrisku handiko </w:t>
            </w:r>
            <w:proofErr w:type="spellStart"/>
            <w:r w:rsidRPr="00AB335D">
              <w:rPr>
                <w:b/>
                <w:bCs/>
                <w:sz w:val="24"/>
                <w:szCs w:val="24"/>
              </w:rPr>
              <w:t>adenomak</w:t>
            </w:r>
            <w:proofErr w:type="spellEnd"/>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2.515</w:t>
            </w:r>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11,3</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7.256</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22,7</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9.771</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18,0</w:t>
            </w:r>
          </w:p>
        </w:tc>
      </w:tr>
      <w:tr w:rsidR="00A26314" w:rsidRPr="00AB335D" w:rsidTr="00A26314">
        <w:trPr>
          <w:trHeight w:val="484"/>
        </w:trPr>
        <w:tc>
          <w:tcPr>
            <w:tcW w:w="1920" w:type="dxa"/>
            <w:tcBorders>
              <w:top w:val="single" w:sz="8" w:space="0" w:color="FFFFFF"/>
              <w:left w:val="single" w:sz="8" w:space="0" w:color="FFFFFF"/>
              <w:bottom w:val="single" w:sz="8" w:space="0" w:color="FFFFFF"/>
              <w:right w:val="single" w:sz="8" w:space="0" w:color="FFFFFF"/>
            </w:tcBorders>
            <w:shd w:val="clear" w:color="auto" w:fill="D99694"/>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Koloneko eta ondesteko minbizia (≥pT1)</w:t>
            </w:r>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981</w:t>
            </w:r>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4,4</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1.875</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5,9</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2.856</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5,3</w:t>
            </w:r>
          </w:p>
        </w:tc>
      </w:tr>
      <w:tr w:rsidR="00A26314" w:rsidRPr="00AB335D" w:rsidTr="00A26314">
        <w:trPr>
          <w:trHeight w:val="484"/>
        </w:trPr>
        <w:tc>
          <w:tcPr>
            <w:tcW w:w="1920" w:type="dxa"/>
            <w:tcBorders>
              <w:top w:val="single" w:sz="8" w:space="0" w:color="FFFFFF"/>
              <w:left w:val="single" w:sz="8" w:space="0" w:color="FFFFFF"/>
              <w:bottom w:val="single" w:sz="8" w:space="0" w:color="FFFFFF"/>
              <w:right w:val="single" w:sz="8" w:space="0" w:color="FFFFFF"/>
            </w:tcBorders>
            <w:shd w:val="clear" w:color="auto" w:fill="D99694"/>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proofErr w:type="spellStart"/>
            <w:r w:rsidRPr="00AB335D">
              <w:rPr>
                <w:b/>
                <w:bCs/>
                <w:sz w:val="24"/>
                <w:szCs w:val="24"/>
              </w:rPr>
              <w:t>Digest</w:t>
            </w:r>
            <w:proofErr w:type="spellEnd"/>
            <w:r w:rsidRPr="00AB335D">
              <w:rPr>
                <w:b/>
                <w:bCs/>
                <w:sz w:val="24"/>
                <w:szCs w:val="24"/>
              </w:rPr>
              <w:t xml:space="preserve">.  aparatuko </w:t>
            </w:r>
            <w:proofErr w:type="spellStart"/>
            <w:r w:rsidRPr="00AB335D">
              <w:rPr>
                <w:b/>
                <w:bCs/>
                <w:sz w:val="24"/>
                <w:szCs w:val="24"/>
              </w:rPr>
              <w:t>patol</w:t>
            </w:r>
            <w:proofErr w:type="spellEnd"/>
            <w:r w:rsidRPr="00AB335D">
              <w:rPr>
                <w:b/>
                <w:bCs/>
                <w:sz w:val="24"/>
                <w:szCs w:val="24"/>
              </w:rPr>
              <w:t>. garrantzitsua</w:t>
            </w:r>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318</w:t>
            </w:r>
          </w:p>
        </w:tc>
        <w:tc>
          <w:tcPr>
            <w:tcW w:w="64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1,4</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362</w:t>
            </w:r>
          </w:p>
        </w:tc>
        <w:tc>
          <w:tcPr>
            <w:tcW w:w="640" w:type="dxa"/>
            <w:tcBorders>
              <w:top w:val="single" w:sz="8" w:space="0" w:color="FFFFFF"/>
              <w:left w:val="single" w:sz="8" w:space="0" w:color="FFFFFF"/>
              <w:bottom w:val="single" w:sz="8" w:space="0" w:color="FFFFFF"/>
              <w:right w:val="single" w:sz="8" w:space="0" w:color="FFFFFF"/>
            </w:tcBorders>
            <w:shd w:val="clear" w:color="auto" w:fill="B7DEE8"/>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1,1</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680</w:t>
            </w:r>
          </w:p>
        </w:tc>
        <w:tc>
          <w:tcPr>
            <w:tcW w:w="640" w:type="dxa"/>
            <w:tcBorders>
              <w:top w:val="single" w:sz="8" w:space="0" w:color="FFFFFF"/>
              <w:left w:val="single" w:sz="8" w:space="0" w:color="FFFFFF"/>
              <w:bottom w:val="single" w:sz="8" w:space="0" w:color="FFFFFF"/>
              <w:right w:val="single" w:sz="8" w:space="0" w:color="FFFFFF"/>
            </w:tcBorders>
            <w:shd w:val="clear" w:color="auto" w:fill="CCC1DA"/>
            <w:tcMar>
              <w:top w:w="15" w:type="dxa"/>
              <w:left w:w="15" w:type="dxa"/>
              <w:bottom w:w="0" w:type="dxa"/>
              <w:right w:w="15" w:type="dxa"/>
            </w:tcMar>
            <w:vAlign w:val="center"/>
            <w:hideMark/>
          </w:tcPr>
          <w:p w:rsidR="008A59B3" w:rsidRPr="00AB335D" w:rsidRDefault="00A26314" w:rsidP="00344A78">
            <w:pPr>
              <w:jc w:val="both"/>
              <w:rPr>
                <w:rFonts w:cstheme="minorHAnsi"/>
                <w:sz w:val="24"/>
                <w:szCs w:val="24"/>
              </w:rPr>
            </w:pPr>
            <w:r w:rsidRPr="00AB335D">
              <w:rPr>
                <w:b/>
                <w:bCs/>
                <w:sz w:val="24"/>
                <w:szCs w:val="24"/>
              </w:rPr>
              <w:t>% 1,3</w:t>
            </w:r>
          </w:p>
        </w:tc>
      </w:tr>
    </w:tbl>
    <w:p w:rsidR="00A26314" w:rsidRPr="00AB335D" w:rsidRDefault="00981B24" w:rsidP="00344A78">
      <w:pPr>
        <w:jc w:val="both"/>
        <w:rPr>
          <w:rFonts w:cstheme="minorHAnsi"/>
          <w:sz w:val="24"/>
          <w:szCs w:val="24"/>
        </w:rPr>
      </w:pPr>
      <w:r w:rsidRPr="00AB335D">
        <w:rPr>
          <w:sz w:val="24"/>
          <w:szCs w:val="24"/>
        </w:rPr>
        <w:t>N= 54.236</w:t>
      </w:r>
    </w:p>
    <w:p w:rsidR="00730F8A" w:rsidRPr="00AB335D" w:rsidRDefault="006076C5" w:rsidP="00344A78">
      <w:pPr>
        <w:jc w:val="both"/>
        <w:rPr>
          <w:rFonts w:cstheme="minorHAnsi"/>
          <w:sz w:val="24"/>
          <w:szCs w:val="24"/>
        </w:rPr>
      </w:pPr>
      <w:r w:rsidRPr="00AB335D">
        <w:rPr>
          <w:sz w:val="24"/>
          <w:szCs w:val="24"/>
        </w:rPr>
        <w:t xml:space="preserve">Programak detektatutako </w:t>
      </w:r>
      <w:proofErr w:type="spellStart"/>
      <w:r w:rsidRPr="00AB335D">
        <w:rPr>
          <w:sz w:val="24"/>
          <w:szCs w:val="24"/>
        </w:rPr>
        <w:t>KOMen</w:t>
      </w:r>
      <w:proofErr w:type="spellEnd"/>
      <w:r w:rsidRPr="00AB335D">
        <w:rPr>
          <w:sz w:val="24"/>
          <w:szCs w:val="24"/>
        </w:rPr>
        <w:t xml:space="preserve"> estadioei dagokionez, minbizien % 69,2 hasierako estadioetan aurkitu ziren (</w:t>
      </w:r>
      <w:proofErr w:type="spellStart"/>
      <w:r w:rsidRPr="00AB335D">
        <w:rPr>
          <w:sz w:val="24"/>
          <w:szCs w:val="24"/>
        </w:rPr>
        <w:t>I-II</w:t>
      </w:r>
      <w:proofErr w:type="spellEnd"/>
      <w:r w:rsidRPr="00AB335D">
        <w:rPr>
          <w:sz w:val="24"/>
          <w:szCs w:val="24"/>
        </w:rPr>
        <w:t xml:space="preserve">); ez zen aurkitu sexuaren araberako alde handirik estadioetan eta kokalekuan. KOM kasu gehienetan kirurgia izan zen hasierako tratamendu ohikoena (% 59,6), eta ondoren, </w:t>
      </w:r>
      <w:proofErr w:type="spellStart"/>
      <w:r w:rsidRPr="00AB335D">
        <w:rPr>
          <w:sz w:val="24"/>
          <w:szCs w:val="24"/>
        </w:rPr>
        <w:t>baheketa-kolonoskopian</w:t>
      </w:r>
      <w:proofErr w:type="spellEnd"/>
      <w:r w:rsidRPr="00AB335D">
        <w:rPr>
          <w:sz w:val="24"/>
          <w:szCs w:val="24"/>
        </w:rPr>
        <w:t xml:space="preserve"> egindako tratamendu </w:t>
      </w:r>
      <w:proofErr w:type="spellStart"/>
      <w:r w:rsidRPr="00AB335D">
        <w:rPr>
          <w:sz w:val="24"/>
          <w:szCs w:val="24"/>
        </w:rPr>
        <w:t>endoskopiko</w:t>
      </w:r>
      <w:proofErr w:type="spellEnd"/>
      <w:r w:rsidRPr="00AB335D">
        <w:rPr>
          <w:sz w:val="24"/>
          <w:szCs w:val="24"/>
        </w:rPr>
        <w:t xml:space="preserve"> erradikala (% 29,8).</w:t>
      </w:r>
    </w:p>
    <w:p w:rsidR="005C69EC" w:rsidRPr="00AB335D" w:rsidRDefault="0090188D" w:rsidP="00344A78">
      <w:pPr>
        <w:jc w:val="both"/>
        <w:rPr>
          <w:rFonts w:cstheme="minorHAnsi"/>
          <w:sz w:val="24"/>
          <w:szCs w:val="24"/>
        </w:rPr>
      </w:pPr>
      <w:r w:rsidRPr="00AB335D">
        <w:rPr>
          <w:rFonts w:cstheme="minorHAnsi"/>
          <w:noProof/>
          <w:sz w:val="24"/>
          <w:szCs w:val="24"/>
          <w:lang w:val="es-ES" w:eastAsia="es-ES"/>
        </w:rPr>
        <w:drawing>
          <wp:anchor distT="0" distB="0" distL="114300" distR="114300" simplePos="0" relativeHeight="251660288" behindDoc="0" locked="0" layoutInCell="1" allowOverlap="1" wp14:anchorId="548F24C5" wp14:editId="12828A09">
            <wp:simplePos x="0" y="0"/>
            <wp:positionH relativeFrom="column">
              <wp:posOffset>-744088</wp:posOffset>
            </wp:positionH>
            <wp:positionV relativeFrom="paragraph">
              <wp:posOffset>-13131549</wp:posOffset>
            </wp:positionV>
            <wp:extent cx="4166235" cy="869315"/>
            <wp:effectExtent l="0" t="0" r="5715" b="6985"/>
            <wp:wrapNone/>
            <wp:docPr id="7"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1"/>
                    <a:stretch>
                      <a:fillRect/>
                    </a:stretch>
                  </pic:blipFill>
                  <pic:spPr>
                    <a:xfrm>
                      <a:off x="0" y="0"/>
                      <a:ext cx="4166235" cy="869315"/>
                    </a:xfrm>
                    <a:prstGeom prst="rect">
                      <a:avLst/>
                    </a:prstGeom>
                  </pic:spPr>
                </pic:pic>
              </a:graphicData>
            </a:graphic>
            <wp14:sizeRelH relativeFrom="margin">
              <wp14:pctWidth>0</wp14:pctWidth>
            </wp14:sizeRelH>
            <wp14:sizeRelV relativeFrom="margin">
              <wp14:pctHeight>0</wp14:pctHeight>
            </wp14:sizeRelV>
          </wp:anchor>
        </w:drawing>
      </w:r>
      <w:r w:rsidRPr="00AB335D">
        <w:rPr>
          <w:sz w:val="24"/>
          <w:szCs w:val="24"/>
        </w:rPr>
        <w:t>Test bidez detektatu ez ziren 377 KOM kasu erregistratu ziren; horietatik 85 kasu 69 urtetik gorako pertsonen artean detektatu ziren, alegia, prebentzio-jarduera bertan behera utzia zutenetan. Programan detektatutako kasuetan ez bezala, % 40 soilik zeuden hasierako I eta II estadioetan.</w:t>
      </w:r>
    </w:p>
    <w:p w:rsidR="00C84482" w:rsidRPr="00AB335D" w:rsidRDefault="00C84482" w:rsidP="00344A78">
      <w:pPr>
        <w:jc w:val="both"/>
        <w:rPr>
          <w:rFonts w:cstheme="minorHAnsi"/>
          <w:sz w:val="24"/>
          <w:szCs w:val="24"/>
        </w:rPr>
      </w:pPr>
      <w:r w:rsidRPr="00AB335D">
        <w:rPr>
          <w:sz w:val="24"/>
          <w:szCs w:val="24"/>
        </w:rPr>
        <w:t xml:space="preserve">2. Taulan </w:t>
      </w:r>
      <w:proofErr w:type="spellStart"/>
      <w:r w:rsidRPr="00AB335D">
        <w:rPr>
          <w:sz w:val="24"/>
          <w:szCs w:val="24"/>
        </w:rPr>
        <w:t>FITaren</w:t>
      </w:r>
      <w:proofErr w:type="spellEnd"/>
      <w:r w:rsidRPr="00AB335D">
        <w:rPr>
          <w:sz w:val="24"/>
          <w:szCs w:val="24"/>
        </w:rPr>
        <w:t xml:space="preserve"> eraginkortasun-datuak erakusten dira; testaren sentsibilitatea % 88,38koa dela eta iragarpen-balio negatiboa ia % 100ekoa dela nabarmentzen dute datu horiek.</w:t>
      </w:r>
    </w:p>
    <w:p w:rsidR="00571B49" w:rsidRPr="00AB335D" w:rsidRDefault="00571B49">
      <w:pPr>
        <w:rPr>
          <w:rFonts w:cstheme="minorHAnsi"/>
          <w:b/>
          <w:bCs/>
          <w:sz w:val="24"/>
          <w:szCs w:val="24"/>
        </w:rPr>
      </w:pPr>
      <w:r w:rsidRPr="00AB335D">
        <w:br w:type="page"/>
      </w:r>
    </w:p>
    <w:p w:rsidR="00850CC1" w:rsidRPr="00AB335D" w:rsidRDefault="00C84482" w:rsidP="00344A78">
      <w:pPr>
        <w:jc w:val="both"/>
        <w:rPr>
          <w:rFonts w:cstheme="minorHAnsi"/>
          <w:sz w:val="24"/>
          <w:szCs w:val="24"/>
        </w:rPr>
      </w:pPr>
      <w:r w:rsidRPr="00AB335D">
        <w:rPr>
          <w:b/>
          <w:bCs/>
          <w:sz w:val="24"/>
          <w:szCs w:val="24"/>
        </w:rPr>
        <w:lastRenderedPageBreak/>
        <w:t xml:space="preserve">2. Taula. Programaren eraginkortasuna. 2009-2017 </w:t>
      </w:r>
    </w:p>
    <w:tbl>
      <w:tblPr>
        <w:tblW w:w="5969" w:type="dxa"/>
        <w:tblLayout w:type="fixed"/>
        <w:tblCellMar>
          <w:left w:w="0" w:type="dxa"/>
          <w:right w:w="0" w:type="dxa"/>
        </w:tblCellMar>
        <w:tblLook w:val="0600" w:firstRow="0" w:lastRow="0" w:firstColumn="0" w:lastColumn="0" w:noHBand="1" w:noVBand="1"/>
      </w:tblPr>
      <w:tblGrid>
        <w:gridCol w:w="1008"/>
        <w:gridCol w:w="1134"/>
        <w:gridCol w:w="1275"/>
        <w:gridCol w:w="1134"/>
        <w:gridCol w:w="1418"/>
      </w:tblGrid>
      <w:tr w:rsidR="00FA44EF" w:rsidRPr="00AB335D" w:rsidTr="00C84482">
        <w:trPr>
          <w:trHeight w:val="441"/>
        </w:trPr>
        <w:tc>
          <w:tcPr>
            <w:tcW w:w="1008"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sz w:val="24"/>
                <w:szCs w:val="24"/>
              </w:rPr>
              <w:t> </w:t>
            </w:r>
          </w:p>
        </w:tc>
        <w:tc>
          <w:tcPr>
            <w:tcW w:w="1134"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sz w:val="24"/>
                <w:szCs w:val="24"/>
              </w:rPr>
              <w:t> </w:t>
            </w:r>
          </w:p>
        </w:tc>
        <w:tc>
          <w:tcPr>
            <w:tcW w:w="2409" w:type="dxa"/>
            <w:gridSpan w:val="2"/>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proofErr w:type="spellStart"/>
            <w:r w:rsidRPr="00AB335D">
              <w:rPr>
                <w:b/>
                <w:bCs/>
                <w:sz w:val="24"/>
                <w:szCs w:val="24"/>
              </w:rPr>
              <w:t>KOMaren</w:t>
            </w:r>
            <w:proofErr w:type="spellEnd"/>
            <w:r w:rsidRPr="00AB335D">
              <w:rPr>
                <w:b/>
                <w:bCs/>
                <w:sz w:val="24"/>
                <w:szCs w:val="24"/>
              </w:rPr>
              <w:t xml:space="preserve"> diagnostikoa </w:t>
            </w:r>
          </w:p>
        </w:tc>
        <w:tc>
          <w:tcPr>
            <w:tcW w:w="1418"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sz w:val="24"/>
                <w:szCs w:val="24"/>
              </w:rPr>
              <w:t> </w:t>
            </w:r>
          </w:p>
        </w:tc>
      </w:tr>
      <w:tr w:rsidR="00FA44EF" w:rsidRPr="00AB335D" w:rsidTr="00C84482">
        <w:trPr>
          <w:trHeight w:val="230"/>
        </w:trPr>
        <w:tc>
          <w:tcPr>
            <w:tcW w:w="1008"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sz w:val="24"/>
                <w:szCs w:val="24"/>
              </w:rPr>
              <w:t> </w:t>
            </w:r>
          </w:p>
        </w:tc>
        <w:tc>
          <w:tcPr>
            <w:tcW w:w="1134"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sz w:val="24"/>
                <w:szCs w:val="24"/>
              </w:rPr>
              <w:t> </w:t>
            </w:r>
          </w:p>
        </w:tc>
        <w:tc>
          <w:tcPr>
            <w:tcW w:w="1275"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Positiboa</w:t>
            </w:r>
          </w:p>
        </w:tc>
        <w:tc>
          <w:tcPr>
            <w:tcW w:w="1134"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Negatiboa</w:t>
            </w:r>
          </w:p>
        </w:tc>
        <w:tc>
          <w:tcPr>
            <w:tcW w:w="1418"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Guztira</w:t>
            </w:r>
          </w:p>
        </w:tc>
      </w:tr>
      <w:tr w:rsidR="00FA44EF" w:rsidRPr="00AB335D" w:rsidTr="00C84482">
        <w:trPr>
          <w:trHeight w:val="230"/>
        </w:trPr>
        <w:tc>
          <w:tcPr>
            <w:tcW w:w="1008" w:type="dxa"/>
            <w:vMerge w:val="restart"/>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center"/>
            <w:hideMark/>
          </w:tcPr>
          <w:p w:rsidR="008A59B3" w:rsidRPr="00AB335D" w:rsidRDefault="00FA44EF" w:rsidP="00344A78">
            <w:pPr>
              <w:jc w:val="both"/>
              <w:rPr>
                <w:rFonts w:cstheme="minorHAnsi"/>
                <w:sz w:val="24"/>
                <w:szCs w:val="24"/>
              </w:rPr>
            </w:pPr>
            <w:r w:rsidRPr="00AB335D">
              <w:rPr>
                <w:b/>
                <w:bCs/>
                <w:sz w:val="24"/>
                <w:szCs w:val="24"/>
              </w:rPr>
              <w:t>FIT</w:t>
            </w:r>
          </w:p>
        </w:tc>
        <w:tc>
          <w:tcPr>
            <w:tcW w:w="1134"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Positiboa</w:t>
            </w:r>
          </w:p>
        </w:tc>
        <w:tc>
          <w:tcPr>
            <w:tcW w:w="1275"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center"/>
            <w:hideMark/>
          </w:tcPr>
          <w:p w:rsidR="008A59B3" w:rsidRPr="00AB335D" w:rsidRDefault="00FA44EF" w:rsidP="00344A78">
            <w:pPr>
              <w:jc w:val="both"/>
              <w:rPr>
                <w:rFonts w:cstheme="minorHAnsi"/>
                <w:sz w:val="24"/>
                <w:szCs w:val="24"/>
              </w:rPr>
            </w:pPr>
            <w:r w:rsidRPr="00AB335D">
              <w:rPr>
                <w:b/>
                <w:bCs/>
                <w:sz w:val="24"/>
                <w:szCs w:val="24"/>
              </w:rPr>
              <w:t>2.868</w:t>
            </w:r>
          </w:p>
        </w:tc>
        <w:tc>
          <w:tcPr>
            <w:tcW w:w="1134"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center"/>
            <w:hideMark/>
          </w:tcPr>
          <w:p w:rsidR="008A59B3" w:rsidRPr="00AB335D" w:rsidRDefault="00FA44EF" w:rsidP="00344A78">
            <w:pPr>
              <w:jc w:val="both"/>
              <w:rPr>
                <w:rFonts w:cstheme="minorHAnsi"/>
                <w:sz w:val="24"/>
                <w:szCs w:val="24"/>
              </w:rPr>
            </w:pPr>
            <w:r w:rsidRPr="00AB335D">
              <w:rPr>
                <w:b/>
                <w:bCs/>
                <w:sz w:val="24"/>
                <w:szCs w:val="24"/>
              </w:rPr>
              <w:t>56.670</w:t>
            </w:r>
          </w:p>
        </w:tc>
        <w:tc>
          <w:tcPr>
            <w:tcW w:w="1418"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center"/>
            <w:hideMark/>
          </w:tcPr>
          <w:p w:rsidR="008A59B3" w:rsidRPr="00AB335D" w:rsidRDefault="00FA44EF" w:rsidP="00344A78">
            <w:pPr>
              <w:jc w:val="both"/>
              <w:rPr>
                <w:rFonts w:cstheme="minorHAnsi"/>
                <w:sz w:val="24"/>
                <w:szCs w:val="24"/>
              </w:rPr>
            </w:pPr>
            <w:r w:rsidRPr="00AB335D">
              <w:rPr>
                <w:b/>
                <w:bCs/>
                <w:sz w:val="24"/>
                <w:szCs w:val="24"/>
              </w:rPr>
              <w:t>59.538</w:t>
            </w:r>
          </w:p>
        </w:tc>
      </w:tr>
      <w:tr w:rsidR="00FA44EF" w:rsidRPr="00AB335D" w:rsidTr="00C84482">
        <w:trPr>
          <w:trHeight w:val="230"/>
        </w:trPr>
        <w:tc>
          <w:tcPr>
            <w:tcW w:w="1008" w:type="dxa"/>
            <w:vMerge/>
            <w:tcBorders>
              <w:top w:val="single" w:sz="8" w:space="0" w:color="FFFFFF"/>
              <w:left w:val="single" w:sz="8" w:space="0" w:color="FFFFFF"/>
              <w:bottom w:val="single" w:sz="8" w:space="0" w:color="FFFFFF"/>
              <w:right w:val="single" w:sz="8" w:space="0" w:color="FFFFFF"/>
            </w:tcBorders>
            <w:vAlign w:val="center"/>
            <w:hideMark/>
          </w:tcPr>
          <w:p w:rsidR="00FA44EF" w:rsidRPr="00AB335D" w:rsidRDefault="00FA44EF" w:rsidP="00344A78">
            <w:pPr>
              <w:jc w:val="both"/>
              <w:rPr>
                <w:rFonts w:cstheme="minorHAnsi"/>
                <w:sz w:val="24"/>
                <w:szCs w:val="24"/>
              </w:rPr>
            </w:pPr>
          </w:p>
        </w:tc>
        <w:tc>
          <w:tcPr>
            <w:tcW w:w="1134"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Negatiboa</w:t>
            </w:r>
          </w:p>
        </w:tc>
        <w:tc>
          <w:tcPr>
            <w:tcW w:w="1275"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377</w:t>
            </w:r>
          </w:p>
        </w:tc>
        <w:tc>
          <w:tcPr>
            <w:tcW w:w="1134"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927.492</w:t>
            </w:r>
          </w:p>
        </w:tc>
        <w:tc>
          <w:tcPr>
            <w:tcW w:w="1418"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927.869</w:t>
            </w:r>
          </w:p>
        </w:tc>
      </w:tr>
      <w:tr w:rsidR="00FA44EF" w:rsidRPr="00AB335D" w:rsidTr="00C84482">
        <w:trPr>
          <w:trHeight w:val="230"/>
        </w:trPr>
        <w:tc>
          <w:tcPr>
            <w:tcW w:w="1008"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 </w:t>
            </w:r>
          </w:p>
        </w:tc>
        <w:tc>
          <w:tcPr>
            <w:tcW w:w="1134"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Guztira</w:t>
            </w:r>
          </w:p>
        </w:tc>
        <w:tc>
          <w:tcPr>
            <w:tcW w:w="1275"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3.245</w:t>
            </w:r>
          </w:p>
        </w:tc>
        <w:tc>
          <w:tcPr>
            <w:tcW w:w="1134"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984.162</w:t>
            </w:r>
          </w:p>
        </w:tc>
        <w:tc>
          <w:tcPr>
            <w:tcW w:w="1418"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FA44EF" w:rsidP="00344A78">
            <w:pPr>
              <w:jc w:val="both"/>
              <w:rPr>
                <w:rFonts w:cstheme="minorHAnsi"/>
                <w:sz w:val="24"/>
                <w:szCs w:val="24"/>
              </w:rPr>
            </w:pPr>
            <w:r w:rsidRPr="00AB335D">
              <w:rPr>
                <w:b/>
                <w:bCs/>
                <w:sz w:val="24"/>
                <w:szCs w:val="24"/>
              </w:rPr>
              <w:t>987.407</w:t>
            </w:r>
          </w:p>
        </w:tc>
      </w:tr>
      <w:tr w:rsidR="00C84482" w:rsidRPr="00AB335D" w:rsidTr="00C84482">
        <w:trPr>
          <w:trHeight w:val="189"/>
        </w:trPr>
        <w:tc>
          <w:tcPr>
            <w:tcW w:w="5969" w:type="dxa"/>
            <w:gridSpan w:val="5"/>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tcPr>
          <w:p w:rsidR="00C84482" w:rsidRPr="00AB335D" w:rsidRDefault="00C84482" w:rsidP="00344A78">
            <w:pPr>
              <w:jc w:val="both"/>
              <w:rPr>
                <w:rFonts w:cstheme="minorHAnsi"/>
                <w:b/>
                <w:bCs/>
                <w:sz w:val="24"/>
                <w:szCs w:val="24"/>
              </w:rPr>
            </w:pPr>
          </w:p>
        </w:tc>
      </w:tr>
      <w:tr w:rsidR="00AB4AE9" w:rsidRPr="00AB335D" w:rsidTr="00BB4AE8">
        <w:trPr>
          <w:trHeight w:val="189"/>
        </w:trPr>
        <w:tc>
          <w:tcPr>
            <w:tcW w:w="3417" w:type="dxa"/>
            <w:gridSpan w:val="3"/>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AB4AE9" w:rsidRPr="00AB335D" w:rsidRDefault="00AB4AE9" w:rsidP="00344A78">
            <w:pPr>
              <w:jc w:val="both"/>
              <w:rPr>
                <w:rFonts w:cstheme="minorHAnsi"/>
                <w:sz w:val="24"/>
                <w:szCs w:val="24"/>
              </w:rPr>
            </w:pPr>
            <w:r w:rsidRPr="00AB335D">
              <w:rPr>
                <w:sz w:val="24"/>
                <w:szCs w:val="24"/>
              </w:rPr>
              <w:t> </w:t>
            </w:r>
          </w:p>
          <w:p w:rsidR="00AB4AE9" w:rsidRPr="00AB335D" w:rsidRDefault="00AB4AE9" w:rsidP="00344A78">
            <w:pPr>
              <w:jc w:val="both"/>
              <w:rPr>
                <w:rFonts w:cstheme="minorHAnsi"/>
                <w:sz w:val="24"/>
                <w:szCs w:val="24"/>
              </w:rPr>
            </w:pPr>
            <w:r w:rsidRPr="00AB335D">
              <w:rPr>
                <w:b/>
                <w:bCs/>
                <w:sz w:val="24"/>
                <w:szCs w:val="24"/>
              </w:rPr>
              <w:t> </w:t>
            </w:r>
          </w:p>
        </w:tc>
        <w:tc>
          <w:tcPr>
            <w:tcW w:w="2552" w:type="dxa"/>
            <w:gridSpan w:val="2"/>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AB4AE9" w:rsidRPr="00AB335D" w:rsidRDefault="00AB4AE9" w:rsidP="00344A78">
            <w:pPr>
              <w:jc w:val="both"/>
              <w:rPr>
                <w:rFonts w:cstheme="minorHAnsi"/>
                <w:sz w:val="24"/>
                <w:szCs w:val="24"/>
              </w:rPr>
            </w:pPr>
            <w:r w:rsidRPr="00AB335D">
              <w:rPr>
                <w:b/>
                <w:bCs/>
                <w:sz w:val="24"/>
                <w:szCs w:val="24"/>
              </w:rPr>
              <w:t>MI % 95</w:t>
            </w:r>
          </w:p>
        </w:tc>
      </w:tr>
      <w:tr w:rsidR="009E6319" w:rsidRPr="00AB335D" w:rsidTr="00C84482">
        <w:trPr>
          <w:trHeight w:val="233"/>
        </w:trPr>
        <w:tc>
          <w:tcPr>
            <w:tcW w:w="2142" w:type="dxa"/>
            <w:gridSpan w:val="2"/>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9E6319" w:rsidP="00344A78">
            <w:pPr>
              <w:jc w:val="both"/>
              <w:rPr>
                <w:rFonts w:cstheme="minorHAnsi"/>
                <w:sz w:val="24"/>
                <w:szCs w:val="24"/>
              </w:rPr>
            </w:pPr>
            <w:proofErr w:type="spellStart"/>
            <w:r w:rsidRPr="00AB335D">
              <w:rPr>
                <w:b/>
                <w:bCs/>
                <w:sz w:val="24"/>
                <w:szCs w:val="24"/>
              </w:rPr>
              <w:t>Sensibilitatea</w:t>
            </w:r>
            <w:proofErr w:type="spellEnd"/>
          </w:p>
        </w:tc>
        <w:tc>
          <w:tcPr>
            <w:tcW w:w="1275"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9E6319" w:rsidP="00344A78">
            <w:pPr>
              <w:jc w:val="both"/>
              <w:rPr>
                <w:rFonts w:cstheme="minorHAnsi"/>
                <w:sz w:val="24"/>
                <w:szCs w:val="24"/>
              </w:rPr>
            </w:pPr>
            <w:r w:rsidRPr="00AB335D">
              <w:rPr>
                <w:b/>
                <w:bCs/>
                <w:sz w:val="24"/>
                <w:szCs w:val="24"/>
              </w:rPr>
              <w:t>% 88,38</w:t>
            </w:r>
          </w:p>
        </w:tc>
        <w:tc>
          <w:tcPr>
            <w:tcW w:w="2552" w:type="dxa"/>
            <w:gridSpan w:val="2"/>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9E6319" w:rsidP="00344A78">
            <w:pPr>
              <w:jc w:val="both"/>
              <w:rPr>
                <w:rFonts w:cstheme="minorHAnsi"/>
                <w:sz w:val="24"/>
                <w:szCs w:val="24"/>
              </w:rPr>
            </w:pPr>
            <w:r w:rsidRPr="00AB335D">
              <w:rPr>
                <w:b/>
                <w:bCs/>
                <w:sz w:val="24"/>
                <w:szCs w:val="24"/>
              </w:rPr>
              <w:t>87,22-89,45</w:t>
            </w:r>
          </w:p>
        </w:tc>
      </w:tr>
      <w:tr w:rsidR="009E6319" w:rsidRPr="00AB335D" w:rsidTr="00C84482">
        <w:trPr>
          <w:trHeight w:val="233"/>
        </w:trPr>
        <w:tc>
          <w:tcPr>
            <w:tcW w:w="2142" w:type="dxa"/>
            <w:gridSpan w:val="2"/>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9E6319" w:rsidP="00344A78">
            <w:pPr>
              <w:jc w:val="both"/>
              <w:rPr>
                <w:rFonts w:cstheme="minorHAnsi"/>
                <w:sz w:val="24"/>
                <w:szCs w:val="24"/>
              </w:rPr>
            </w:pPr>
            <w:r w:rsidRPr="00AB335D">
              <w:rPr>
                <w:b/>
                <w:bCs/>
                <w:sz w:val="24"/>
                <w:szCs w:val="24"/>
              </w:rPr>
              <w:t>Espezifikotasuna</w:t>
            </w:r>
          </w:p>
        </w:tc>
        <w:tc>
          <w:tcPr>
            <w:tcW w:w="1275"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9E6319" w:rsidP="00344A78">
            <w:pPr>
              <w:jc w:val="both"/>
              <w:rPr>
                <w:rFonts w:cstheme="minorHAnsi"/>
                <w:sz w:val="24"/>
                <w:szCs w:val="24"/>
              </w:rPr>
            </w:pPr>
            <w:r w:rsidRPr="00AB335D">
              <w:rPr>
                <w:b/>
                <w:bCs/>
                <w:sz w:val="24"/>
                <w:szCs w:val="24"/>
              </w:rPr>
              <w:t>% 94,24</w:t>
            </w:r>
          </w:p>
        </w:tc>
        <w:tc>
          <w:tcPr>
            <w:tcW w:w="2552" w:type="dxa"/>
            <w:gridSpan w:val="2"/>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9E6319" w:rsidP="00344A78">
            <w:pPr>
              <w:jc w:val="both"/>
              <w:rPr>
                <w:rFonts w:cstheme="minorHAnsi"/>
                <w:sz w:val="24"/>
                <w:szCs w:val="24"/>
              </w:rPr>
            </w:pPr>
            <w:r w:rsidRPr="00AB335D">
              <w:rPr>
                <w:b/>
                <w:bCs/>
                <w:sz w:val="24"/>
                <w:szCs w:val="24"/>
              </w:rPr>
              <w:t>94,20-94,29</w:t>
            </w:r>
          </w:p>
        </w:tc>
      </w:tr>
      <w:tr w:rsidR="009E6319" w:rsidRPr="00AB335D" w:rsidTr="00C84482">
        <w:trPr>
          <w:trHeight w:val="233"/>
        </w:trPr>
        <w:tc>
          <w:tcPr>
            <w:tcW w:w="2142" w:type="dxa"/>
            <w:gridSpan w:val="2"/>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C84482" w:rsidP="00344A78">
            <w:pPr>
              <w:jc w:val="both"/>
              <w:rPr>
                <w:rFonts w:cstheme="minorHAnsi"/>
                <w:sz w:val="24"/>
                <w:szCs w:val="24"/>
              </w:rPr>
            </w:pPr>
            <w:r w:rsidRPr="00AB335D">
              <w:rPr>
                <w:b/>
                <w:bCs/>
                <w:sz w:val="24"/>
                <w:szCs w:val="24"/>
              </w:rPr>
              <w:t>ABP</w:t>
            </w:r>
          </w:p>
        </w:tc>
        <w:tc>
          <w:tcPr>
            <w:tcW w:w="1275"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9E6319" w:rsidP="00344A78">
            <w:pPr>
              <w:jc w:val="both"/>
              <w:rPr>
                <w:rFonts w:cstheme="minorHAnsi"/>
                <w:sz w:val="24"/>
                <w:szCs w:val="24"/>
              </w:rPr>
            </w:pPr>
            <w:r w:rsidRPr="00AB335D">
              <w:rPr>
                <w:b/>
                <w:bCs/>
                <w:sz w:val="24"/>
                <w:szCs w:val="24"/>
              </w:rPr>
              <w:t>% 4,82</w:t>
            </w:r>
          </w:p>
        </w:tc>
        <w:tc>
          <w:tcPr>
            <w:tcW w:w="2552" w:type="dxa"/>
            <w:gridSpan w:val="2"/>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9E6319" w:rsidP="00344A78">
            <w:pPr>
              <w:jc w:val="both"/>
              <w:rPr>
                <w:rFonts w:cstheme="minorHAnsi"/>
                <w:sz w:val="24"/>
                <w:szCs w:val="24"/>
              </w:rPr>
            </w:pPr>
            <w:r w:rsidRPr="00AB335D">
              <w:rPr>
                <w:b/>
                <w:bCs/>
                <w:sz w:val="24"/>
                <w:szCs w:val="24"/>
              </w:rPr>
              <w:t>4,65-4,99</w:t>
            </w:r>
          </w:p>
        </w:tc>
      </w:tr>
      <w:tr w:rsidR="009E6319" w:rsidRPr="00AB335D" w:rsidTr="00C84482">
        <w:trPr>
          <w:trHeight w:val="233"/>
        </w:trPr>
        <w:tc>
          <w:tcPr>
            <w:tcW w:w="2142" w:type="dxa"/>
            <w:gridSpan w:val="2"/>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9E6319" w:rsidP="00344A78">
            <w:pPr>
              <w:jc w:val="both"/>
              <w:rPr>
                <w:rFonts w:cstheme="minorHAnsi"/>
                <w:sz w:val="24"/>
                <w:szCs w:val="24"/>
              </w:rPr>
            </w:pPr>
            <w:r w:rsidRPr="00AB335D">
              <w:rPr>
                <w:b/>
                <w:bCs/>
                <w:sz w:val="24"/>
                <w:szCs w:val="24"/>
              </w:rPr>
              <w:t>ABN</w:t>
            </w:r>
          </w:p>
        </w:tc>
        <w:tc>
          <w:tcPr>
            <w:tcW w:w="1275" w:type="dxa"/>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9E6319" w:rsidP="00344A78">
            <w:pPr>
              <w:jc w:val="both"/>
              <w:rPr>
                <w:rFonts w:cstheme="minorHAnsi"/>
                <w:sz w:val="24"/>
                <w:szCs w:val="24"/>
              </w:rPr>
            </w:pPr>
            <w:r w:rsidRPr="00AB335D">
              <w:rPr>
                <w:b/>
                <w:bCs/>
                <w:sz w:val="24"/>
                <w:szCs w:val="24"/>
              </w:rPr>
              <w:t>% 99,96</w:t>
            </w:r>
          </w:p>
        </w:tc>
        <w:tc>
          <w:tcPr>
            <w:tcW w:w="2552" w:type="dxa"/>
            <w:gridSpan w:val="2"/>
            <w:tcBorders>
              <w:top w:val="single" w:sz="8" w:space="0" w:color="FFFFFF"/>
              <w:left w:val="single" w:sz="8" w:space="0" w:color="FFFFFF"/>
              <w:bottom w:val="single" w:sz="8" w:space="0" w:color="FFFFFF"/>
              <w:right w:val="single" w:sz="8" w:space="0" w:color="FFFFFF"/>
            </w:tcBorders>
            <w:shd w:val="clear" w:color="auto" w:fill="95B3D7"/>
            <w:tcMar>
              <w:top w:w="15" w:type="dxa"/>
              <w:left w:w="15" w:type="dxa"/>
              <w:bottom w:w="0" w:type="dxa"/>
              <w:right w:w="15" w:type="dxa"/>
            </w:tcMar>
            <w:vAlign w:val="bottom"/>
            <w:hideMark/>
          </w:tcPr>
          <w:p w:rsidR="008A59B3" w:rsidRPr="00AB335D" w:rsidRDefault="009E6319" w:rsidP="00344A78">
            <w:pPr>
              <w:jc w:val="both"/>
              <w:rPr>
                <w:rFonts w:cstheme="minorHAnsi"/>
                <w:sz w:val="24"/>
                <w:szCs w:val="24"/>
              </w:rPr>
            </w:pPr>
            <w:r w:rsidRPr="00AB335D">
              <w:rPr>
                <w:b/>
                <w:bCs/>
                <w:sz w:val="24"/>
                <w:szCs w:val="24"/>
              </w:rPr>
              <w:t>99,95-99,96</w:t>
            </w:r>
          </w:p>
        </w:tc>
      </w:tr>
    </w:tbl>
    <w:p w:rsidR="00FA44EF" w:rsidRPr="00AB335D" w:rsidRDefault="00FA44EF" w:rsidP="00344A78">
      <w:pPr>
        <w:jc w:val="both"/>
        <w:rPr>
          <w:rFonts w:cstheme="minorHAnsi"/>
          <w:sz w:val="24"/>
          <w:szCs w:val="24"/>
        </w:rPr>
      </w:pPr>
    </w:p>
    <w:p w:rsidR="002528B5" w:rsidRPr="00AB335D" w:rsidRDefault="00DE3DB1" w:rsidP="00344A78">
      <w:pPr>
        <w:jc w:val="both"/>
        <w:rPr>
          <w:rFonts w:cstheme="minorHAnsi"/>
          <w:sz w:val="24"/>
          <w:szCs w:val="24"/>
        </w:rPr>
      </w:pPr>
      <w:r w:rsidRPr="00AB335D">
        <w:rPr>
          <w:sz w:val="24"/>
          <w:szCs w:val="24"/>
        </w:rPr>
        <w:t>Bigarren grafikoan eta dagokion legendan programak detektatu ez dituen kasuen (gonbidatu ez direnak, parte hartu ez dutenak, bitarteko minbiziak) eta programak detektatu dituen kasuen konparaketa erakusten da. Azken kasu horietan handiagoa da biziraupena 1, 3 eta 5 urtera.</w:t>
      </w:r>
    </w:p>
    <w:p w:rsidR="002528B5" w:rsidRPr="00AB335D" w:rsidRDefault="0090188D" w:rsidP="00344A78">
      <w:pPr>
        <w:jc w:val="both"/>
        <w:rPr>
          <w:rFonts w:cstheme="minorHAnsi"/>
          <w:b/>
          <w:sz w:val="24"/>
          <w:szCs w:val="24"/>
        </w:rPr>
      </w:pPr>
      <w:r w:rsidRPr="00AB335D">
        <w:rPr>
          <w:rFonts w:cstheme="minorHAnsi"/>
          <w:noProof/>
          <w:sz w:val="24"/>
          <w:szCs w:val="24"/>
          <w:lang w:val="es-ES" w:eastAsia="es-ES"/>
        </w:rPr>
        <w:drawing>
          <wp:anchor distT="0" distB="0" distL="114300" distR="114300" simplePos="0" relativeHeight="251659264" behindDoc="0" locked="0" layoutInCell="1" allowOverlap="1" wp14:anchorId="34F64766" wp14:editId="671DDC82">
            <wp:simplePos x="0" y="0"/>
            <wp:positionH relativeFrom="column">
              <wp:posOffset>58420</wp:posOffset>
            </wp:positionH>
            <wp:positionV relativeFrom="paragraph">
              <wp:posOffset>396240</wp:posOffset>
            </wp:positionV>
            <wp:extent cx="2932430" cy="2406650"/>
            <wp:effectExtent l="0" t="0" r="1270" b="0"/>
            <wp:wrapNone/>
            <wp:docPr id="6" name="4 Marcador de conteni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4 Marcador de contenido"/>
                    <pic:cNvPicPr>
                      <a:picLocks/>
                    </pic:cNvPicPr>
                  </pic:nvPicPr>
                  <pic:blipFill rotWithShape="1">
                    <a:blip r:embed="rId12"/>
                    <a:srcRect t="2790" r="21987"/>
                    <a:stretch/>
                  </pic:blipFill>
                  <pic:spPr bwMode="auto">
                    <a:xfrm>
                      <a:off x="0" y="0"/>
                      <a:ext cx="2932430" cy="2406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B335D">
        <w:rPr>
          <w:b/>
          <w:sz w:val="24"/>
          <w:szCs w:val="24"/>
        </w:rPr>
        <w:t>2. Grafikoa eta argibide-taula. Baheketa-programak detektatu ez dituen eta detektatu dituen KOM kasuen biziraupen-kurbak</w:t>
      </w:r>
    </w:p>
    <w:p w:rsidR="003D112B" w:rsidRPr="00AB335D" w:rsidRDefault="003D112B" w:rsidP="00344A78">
      <w:pPr>
        <w:jc w:val="both"/>
        <w:rPr>
          <w:rFonts w:cstheme="minorHAnsi"/>
          <w:b/>
          <w:sz w:val="24"/>
          <w:szCs w:val="24"/>
        </w:rPr>
      </w:pPr>
    </w:p>
    <w:p w:rsidR="003D112B" w:rsidRPr="00AB335D" w:rsidRDefault="003D112B" w:rsidP="00344A78">
      <w:pPr>
        <w:jc w:val="both"/>
        <w:rPr>
          <w:rFonts w:cstheme="minorHAnsi"/>
          <w:b/>
          <w:sz w:val="24"/>
          <w:szCs w:val="24"/>
        </w:rPr>
      </w:pPr>
    </w:p>
    <w:p w:rsidR="003D112B" w:rsidRPr="00AB335D" w:rsidRDefault="003D112B" w:rsidP="00344A78">
      <w:pPr>
        <w:jc w:val="both"/>
        <w:rPr>
          <w:rFonts w:cstheme="minorHAnsi"/>
          <w:b/>
          <w:sz w:val="24"/>
          <w:szCs w:val="24"/>
        </w:rPr>
      </w:pPr>
    </w:p>
    <w:p w:rsidR="003D112B" w:rsidRPr="00AB335D" w:rsidRDefault="003D112B" w:rsidP="00344A78">
      <w:pPr>
        <w:jc w:val="both"/>
        <w:rPr>
          <w:rFonts w:cstheme="minorHAnsi"/>
          <w:b/>
          <w:sz w:val="24"/>
          <w:szCs w:val="24"/>
        </w:rPr>
      </w:pPr>
    </w:p>
    <w:p w:rsidR="002528B5" w:rsidRPr="00AB335D" w:rsidRDefault="002528B5" w:rsidP="00344A78">
      <w:pPr>
        <w:jc w:val="both"/>
        <w:rPr>
          <w:rFonts w:cstheme="minorHAnsi"/>
          <w:sz w:val="24"/>
          <w:szCs w:val="24"/>
        </w:rPr>
      </w:pPr>
    </w:p>
    <w:p w:rsidR="0090188D" w:rsidRPr="00AB335D" w:rsidRDefault="0090188D" w:rsidP="00344A78">
      <w:pPr>
        <w:jc w:val="both"/>
        <w:rPr>
          <w:rFonts w:cstheme="minorHAnsi"/>
          <w:sz w:val="24"/>
          <w:szCs w:val="24"/>
        </w:rPr>
      </w:pPr>
    </w:p>
    <w:p w:rsidR="0090188D" w:rsidRPr="00AB335D" w:rsidRDefault="0090188D" w:rsidP="00344A78">
      <w:pPr>
        <w:jc w:val="both"/>
        <w:rPr>
          <w:rFonts w:cstheme="minorHAnsi"/>
          <w:sz w:val="24"/>
          <w:szCs w:val="24"/>
        </w:rPr>
      </w:pPr>
    </w:p>
    <w:tbl>
      <w:tblPr>
        <w:tblW w:w="0" w:type="auto"/>
        <w:tblCellMar>
          <w:left w:w="0" w:type="dxa"/>
          <w:right w:w="0" w:type="dxa"/>
        </w:tblCellMar>
        <w:tblLook w:val="04A0" w:firstRow="1" w:lastRow="0" w:firstColumn="1" w:lastColumn="0" w:noHBand="0" w:noVBand="1"/>
      </w:tblPr>
      <w:tblGrid>
        <w:gridCol w:w="3069"/>
        <w:gridCol w:w="1318"/>
        <w:gridCol w:w="1318"/>
        <w:gridCol w:w="1318"/>
        <w:gridCol w:w="1530"/>
      </w:tblGrid>
      <w:tr w:rsidR="00876C89" w:rsidRPr="00AB335D" w:rsidTr="00876C89">
        <w:trPr>
          <w:trHeight w:val="494"/>
        </w:trPr>
        <w:tc>
          <w:tcPr>
            <w:tcW w:w="0" w:type="auto"/>
            <w:tcBorders>
              <w:top w:val="single" w:sz="8" w:space="0" w:color="FFFFFF"/>
              <w:left w:val="single" w:sz="8" w:space="0" w:color="FFFFFF"/>
              <w:bottom w:val="single" w:sz="24" w:space="0" w:color="FFFFFF"/>
              <w:right w:val="single" w:sz="8" w:space="0" w:color="FFFFFF"/>
            </w:tcBorders>
            <w:shd w:val="clear" w:color="auto" w:fill="7F7F7F"/>
            <w:tcMar>
              <w:top w:w="15" w:type="dxa"/>
              <w:left w:w="70" w:type="dxa"/>
              <w:bottom w:w="0" w:type="dxa"/>
              <w:right w:w="70" w:type="dxa"/>
            </w:tcMar>
            <w:vAlign w:val="center"/>
            <w:hideMark/>
          </w:tcPr>
          <w:p w:rsidR="0090188D" w:rsidRPr="00AB335D" w:rsidRDefault="0090188D" w:rsidP="00344A78">
            <w:pPr>
              <w:spacing w:after="0" w:line="240" w:lineRule="auto"/>
              <w:jc w:val="both"/>
              <w:rPr>
                <w:rFonts w:cstheme="minorHAnsi"/>
                <w:sz w:val="24"/>
                <w:szCs w:val="24"/>
              </w:rPr>
            </w:pPr>
          </w:p>
        </w:tc>
        <w:tc>
          <w:tcPr>
            <w:tcW w:w="0" w:type="auto"/>
            <w:tcBorders>
              <w:top w:val="single" w:sz="8" w:space="0" w:color="FFFFFF"/>
              <w:left w:val="single" w:sz="8" w:space="0" w:color="FFFFFF"/>
              <w:bottom w:val="single" w:sz="24" w:space="0" w:color="FFFFFF"/>
              <w:right w:val="single" w:sz="8" w:space="0" w:color="FFFFFF"/>
            </w:tcBorders>
            <w:shd w:val="clear" w:color="auto" w:fill="7F7F7F"/>
            <w:tcMar>
              <w:top w:w="15" w:type="dxa"/>
              <w:left w:w="70" w:type="dxa"/>
              <w:bottom w:w="0" w:type="dxa"/>
              <w:right w:w="70" w:type="dxa"/>
            </w:tcMar>
            <w:vAlign w:val="center"/>
            <w:hideMark/>
          </w:tcPr>
          <w:p w:rsidR="00876C89" w:rsidRPr="00AB335D" w:rsidRDefault="00750449" w:rsidP="00344A78">
            <w:pPr>
              <w:spacing w:after="0" w:line="240" w:lineRule="auto"/>
              <w:jc w:val="both"/>
              <w:rPr>
                <w:rFonts w:cstheme="minorHAnsi"/>
                <w:b/>
                <w:bCs/>
                <w:sz w:val="24"/>
                <w:szCs w:val="24"/>
              </w:rPr>
            </w:pPr>
            <w:r w:rsidRPr="00AB335D">
              <w:rPr>
                <w:b/>
                <w:bCs/>
                <w:sz w:val="24"/>
                <w:szCs w:val="24"/>
              </w:rPr>
              <w:t>Biziraupena</w:t>
            </w:r>
          </w:p>
          <w:p w:rsidR="00D206EE" w:rsidRPr="00AB335D" w:rsidRDefault="0090188D" w:rsidP="00344A78">
            <w:pPr>
              <w:spacing w:after="0" w:line="240" w:lineRule="auto"/>
              <w:jc w:val="both"/>
              <w:rPr>
                <w:rFonts w:cstheme="minorHAnsi"/>
                <w:sz w:val="24"/>
                <w:szCs w:val="24"/>
              </w:rPr>
            </w:pPr>
            <w:r w:rsidRPr="00AB335D">
              <w:rPr>
                <w:b/>
                <w:bCs/>
                <w:sz w:val="24"/>
                <w:szCs w:val="24"/>
              </w:rPr>
              <w:t>1 urte</w:t>
            </w:r>
          </w:p>
        </w:tc>
        <w:tc>
          <w:tcPr>
            <w:tcW w:w="0" w:type="auto"/>
            <w:tcBorders>
              <w:top w:val="single" w:sz="8" w:space="0" w:color="FFFFFF"/>
              <w:left w:val="single" w:sz="8" w:space="0" w:color="FFFFFF"/>
              <w:bottom w:val="single" w:sz="24" w:space="0" w:color="FFFFFF"/>
              <w:right w:val="single" w:sz="8" w:space="0" w:color="FFFFFF"/>
            </w:tcBorders>
            <w:shd w:val="clear" w:color="auto" w:fill="7F7F7F"/>
            <w:tcMar>
              <w:top w:w="15" w:type="dxa"/>
              <w:left w:w="70" w:type="dxa"/>
              <w:bottom w:w="0" w:type="dxa"/>
              <w:right w:w="70" w:type="dxa"/>
            </w:tcMar>
            <w:vAlign w:val="center"/>
            <w:hideMark/>
          </w:tcPr>
          <w:p w:rsidR="0090188D" w:rsidRPr="00AB335D" w:rsidRDefault="00750449" w:rsidP="00344A78">
            <w:pPr>
              <w:spacing w:after="0" w:line="240" w:lineRule="auto"/>
              <w:jc w:val="both"/>
              <w:rPr>
                <w:rFonts w:cstheme="minorHAnsi"/>
                <w:sz w:val="24"/>
                <w:szCs w:val="24"/>
              </w:rPr>
            </w:pPr>
            <w:r w:rsidRPr="00AB335D">
              <w:rPr>
                <w:b/>
                <w:bCs/>
                <w:sz w:val="24"/>
                <w:szCs w:val="24"/>
              </w:rPr>
              <w:t>Biziraupena</w:t>
            </w:r>
          </w:p>
          <w:p w:rsidR="00D206EE" w:rsidRPr="00AB335D" w:rsidRDefault="0090188D" w:rsidP="00344A78">
            <w:pPr>
              <w:spacing w:after="0" w:line="240" w:lineRule="auto"/>
              <w:jc w:val="both"/>
              <w:rPr>
                <w:rFonts w:cstheme="minorHAnsi"/>
                <w:sz w:val="24"/>
                <w:szCs w:val="24"/>
              </w:rPr>
            </w:pPr>
            <w:r w:rsidRPr="00AB335D">
              <w:rPr>
                <w:b/>
                <w:bCs/>
                <w:sz w:val="24"/>
                <w:szCs w:val="24"/>
              </w:rPr>
              <w:t>3 urte</w:t>
            </w:r>
          </w:p>
        </w:tc>
        <w:tc>
          <w:tcPr>
            <w:tcW w:w="0" w:type="auto"/>
            <w:tcBorders>
              <w:top w:val="single" w:sz="8" w:space="0" w:color="FFFFFF"/>
              <w:left w:val="single" w:sz="8" w:space="0" w:color="FFFFFF"/>
              <w:bottom w:val="single" w:sz="24" w:space="0" w:color="FFFFFF"/>
              <w:right w:val="single" w:sz="8" w:space="0" w:color="FFFFFF"/>
            </w:tcBorders>
            <w:shd w:val="clear" w:color="auto" w:fill="7F7F7F"/>
            <w:tcMar>
              <w:top w:w="15" w:type="dxa"/>
              <w:left w:w="70" w:type="dxa"/>
              <w:bottom w:w="0" w:type="dxa"/>
              <w:right w:w="70" w:type="dxa"/>
            </w:tcMar>
            <w:vAlign w:val="center"/>
            <w:hideMark/>
          </w:tcPr>
          <w:p w:rsidR="0090188D" w:rsidRPr="00AB335D" w:rsidRDefault="00750449" w:rsidP="00344A78">
            <w:pPr>
              <w:spacing w:after="0" w:line="240" w:lineRule="auto"/>
              <w:jc w:val="both"/>
              <w:rPr>
                <w:rFonts w:cstheme="minorHAnsi"/>
                <w:sz w:val="24"/>
                <w:szCs w:val="24"/>
              </w:rPr>
            </w:pPr>
            <w:r w:rsidRPr="00AB335D">
              <w:rPr>
                <w:b/>
                <w:bCs/>
                <w:sz w:val="24"/>
                <w:szCs w:val="24"/>
              </w:rPr>
              <w:t>Biziraupena</w:t>
            </w:r>
          </w:p>
          <w:p w:rsidR="00D206EE" w:rsidRPr="00AB335D" w:rsidRDefault="0090188D" w:rsidP="00344A78">
            <w:pPr>
              <w:spacing w:after="0" w:line="240" w:lineRule="auto"/>
              <w:jc w:val="both"/>
              <w:rPr>
                <w:rFonts w:cstheme="minorHAnsi"/>
                <w:sz w:val="24"/>
                <w:szCs w:val="24"/>
              </w:rPr>
            </w:pPr>
            <w:r w:rsidRPr="00AB335D">
              <w:rPr>
                <w:b/>
                <w:bCs/>
                <w:sz w:val="24"/>
                <w:szCs w:val="24"/>
              </w:rPr>
              <w:t>5 urte</w:t>
            </w:r>
          </w:p>
        </w:tc>
        <w:tc>
          <w:tcPr>
            <w:tcW w:w="1530" w:type="dxa"/>
            <w:tcBorders>
              <w:top w:val="single" w:sz="8" w:space="0" w:color="FFFFFF"/>
              <w:left w:val="single" w:sz="8" w:space="0" w:color="FFFFFF"/>
              <w:bottom w:val="single" w:sz="24" w:space="0" w:color="FFFFFF"/>
              <w:right w:val="single" w:sz="8" w:space="0" w:color="FFFFFF"/>
            </w:tcBorders>
            <w:shd w:val="clear" w:color="auto" w:fill="7F7F7F"/>
            <w:tcMar>
              <w:top w:w="15" w:type="dxa"/>
              <w:left w:w="70" w:type="dxa"/>
              <w:bottom w:w="0" w:type="dxa"/>
              <w:right w:w="70" w:type="dxa"/>
            </w:tcMar>
            <w:vAlign w:val="center"/>
            <w:hideMark/>
          </w:tcPr>
          <w:p w:rsidR="00D206EE" w:rsidRPr="00AB335D" w:rsidRDefault="00750449" w:rsidP="00344A78">
            <w:pPr>
              <w:spacing w:after="0" w:line="240" w:lineRule="auto"/>
              <w:jc w:val="both"/>
              <w:rPr>
                <w:rFonts w:cstheme="minorHAnsi"/>
                <w:sz w:val="24"/>
                <w:szCs w:val="24"/>
              </w:rPr>
            </w:pPr>
            <w:proofErr w:type="spellStart"/>
            <w:r w:rsidRPr="00AB335D">
              <w:rPr>
                <w:b/>
                <w:bCs/>
                <w:sz w:val="24"/>
                <w:szCs w:val="24"/>
              </w:rPr>
              <w:t>p-Balioa</w:t>
            </w:r>
            <w:proofErr w:type="spellEnd"/>
          </w:p>
        </w:tc>
      </w:tr>
      <w:tr w:rsidR="00876C89" w:rsidRPr="00AB335D" w:rsidTr="00876C89">
        <w:trPr>
          <w:trHeight w:val="715"/>
        </w:trPr>
        <w:tc>
          <w:tcPr>
            <w:tcW w:w="0" w:type="auto"/>
            <w:tcBorders>
              <w:top w:val="single" w:sz="24" w:space="0" w:color="FFFFFF"/>
              <w:left w:val="single" w:sz="8" w:space="0" w:color="FFFFFF"/>
              <w:bottom w:val="single" w:sz="8" w:space="0" w:color="FFFFFF"/>
              <w:right w:val="single" w:sz="8" w:space="0" w:color="FFFFFF"/>
            </w:tcBorders>
            <w:shd w:val="clear" w:color="auto" w:fill="7F7F7F"/>
            <w:tcMar>
              <w:top w:w="15" w:type="dxa"/>
              <w:left w:w="70" w:type="dxa"/>
              <w:bottom w:w="0" w:type="dxa"/>
              <w:right w:w="70" w:type="dxa"/>
            </w:tcMar>
            <w:vAlign w:val="center"/>
            <w:hideMark/>
          </w:tcPr>
          <w:p w:rsidR="00D206EE" w:rsidRPr="00AB335D" w:rsidRDefault="00876C89" w:rsidP="00344A78">
            <w:pPr>
              <w:spacing w:after="0" w:line="240" w:lineRule="auto"/>
              <w:jc w:val="both"/>
              <w:rPr>
                <w:rFonts w:cstheme="minorHAnsi"/>
                <w:sz w:val="24"/>
                <w:szCs w:val="24"/>
              </w:rPr>
            </w:pPr>
            <w:r w:rsidRPr="00AB335D">
              <w:rPr>
                <w:b/>
                <w:bCs/>
                <w:sz w:val="24"/>
                <w:szCs w:val="24"/>
              </w:rPr>
              <w:t>Minbizi sintomatikoa*</w:t>
            </w:r>
          </w:p>
        </w:tc>
        <w:tc>
          <w:tcPr>
            <w:tcW w:w="0" w:type="auto"/>
            <w:tcBorders>
              <w:top w:val="single" w:sz="24" w:space="0" w:color="FFFFFF"/>
              <w:left w:val="single" w:sz="8" w:space="0" w:color="FFFFFF"/>
              <w:bottom w:val="single" w:sz="8" w:space="0" w:color="FFFFFF"/>
              <w:right w:val="single" w:sz="8" w:space="0" w:color="FFFFFF"/>
            </w:tcBorders>
            <w:shd w:val="clear" w:color="auto" w:fill="7F7F7F"/>
            <w:tcMar>
              <w:top w:w="15" w:type="dxa"/>
              <w:left w:w="70" w:type="dxa"/>
              <w:bottom w:w="0" w:type="dxa"/>
              <w:right w:w="70" w:type="dxa"/>
            </w:tcMar>
            <w:vAlign w:val="center"/>
            <w:hideMark/>
          </w:tcPr>
          <w:p w:rsidR="00D206EE" w:rsidRPr="00AB335D" w:rsidRDefault="00876C89" w:rsidP="00344A78">
            <w:pPr>
              <w:spacing w:after="0" w:line="240" w:lineRule="auto"/>
              <w:jc w:val="both"/>
              <w:rPr>
                <w:rFonts w:cstheme="minorHAnsi"/>
                <w:sz w:val="24"/>
                <w:szCs w:val="24"/>
              </w:rPr>
            </w:pPr>
            <w:r w:rsidRPr="00AB335D">
              <w:rPr>
                <w:b/>
                <w:bCs/>
                <w:sz w:val="24"/>
                <w:szCs w:val="24"/>
              </w:rPr>
              <w:t>% 87,4</w:t>
            </w:r>
          </w:p>
        </w:tc>
        <w:tc>
          <w:tcPr>
            <w:tcW w:w="0" w:type="auto"/>
            <w:tcBorders>
              <w:top w:val="single" w:sz="24" w:space="0" w:color="FFFFFF"/>
              <w:left w:val="single" w:sz="8" w:space="0" w:color="FFFFFF"/>
              <w:bottom w:val="single" w:sz="8" w:space="0" w:color="FFFFFF"/>
              <w:right w:val="single" w:sz="8" w:space="0" w:color="FFFFFF"/>
            </w:tcBorders>
            <w:shd w:val="clear" w:color="auto" w:fill="7F7F7F"/>
            <w:tcMar>
              <w:top w:w="15" w:type="dxa"/>
              <w:left w:w="70" w:type="dxa"/>
              <w:bottom w:w="0" w:type="dxa"/>
              <w:right w:w="70" w:type="dxa"/>
            </w:tcMar>
            <w:vAlign w:val="center"/>
            <w:hideMark/>
          </w:tcPr>
          <w:p w:rsidR="00D206EE" w:rsidRPr="00AB335D" w:rsidRDefault="00876C89" w:rsidP="00344A78">
            <w:pPr>
              <w:spacing w:after="0" w:line="240" w:lineRule="auto"/>
              <w:jc w:val="both"/>
              <w:rPr>
                <w:rFonts w:cstheme="minorHAnsi"/>
                <w:sz w:val="24"/>
                <w:szCs w:val="24"/>
              </w:rPr>
            </w:pPr>
            <w:r w:rsidRPr="00AB335D">
              <w:rPr>
                <w:b/>
                <w:bCs/>
                <w:sz w:val="24"/>
                <w:szCs w:val="24"/>
              </w:rPr>
              <w:t>% 73,0</w:t>
            </w:r>
          </w:p>
        </w:tc>
        <w:tc>
          <w:tcPr>
            <w:tcW w:w="0" w:type="auto"/>
            <w:tcBorders>
              <w:top w:val="single" w:sz="24" w:space="0" w:color="FFFFFF"/>
              <w:left w:val="single" w:sz="8" w:space="0" w:color="FFFFFF"/>
              <w:bottom w:val="single" w:sz="8" w:space="0" w:color="FFFFFF"/>
              <w:right w:val="single" w:sz="8" w:space="0" w:color="FFFFFF"/>
            </w:tcBorders>
            <w:shd w:val="clear" w:color="auto" w:fill="7F7F7F"/>
            <w:tcMar>
              <w:top w:w="15" w:type="dxa"/>
              <w:left w:w="70" w:type="dxa"/>
              <w:bottom w:w="0" w:type="dxa"/>
              <w:right w:w="70" w:type="dxa"/>
            </w:tcMar>
            <w:vAlign w:val="center"/>
            <w:hideMark/>
          </w:tcPr>
          <w:p w:rsidR="00D206EE" w:rsidRPr="00AB335D" w:rsidRDefault="00876C89" w:rsidP="00344A78">
            <w:pPr>
              <w:spacing w:after="0" w:line="240" w:lineRule="auto"/>
              <w:jc w:val="both"/>
              <w:rPr>
                <w:rFonts w:cstheme="minorHAnsi"/>
                <w:sz w:val="24"/>
                <w:szCs w:val="24"/>
              </w:rPr>
            </w:pPr>
            <w:r w:rsidRPr="00AB335D">
              <w:rPr>
                <w:b/>
                <w:bCs/>
                <w:sz w:val="24"/>
                <w:szCs w:val="24"/>
              </w:rPr>
              <w:t>% 66,7</w:t>
            </w:r>
          </w:p>
        </w:tc>
        <w:tc>
          <w:tcPr>
            <w:tcW w:w="1530" w:type="dxa"/>
            <w:vMerge w:val="restart"/>
            <w:tcBorders>
              <w:top w:val="single" w:sz="24" w:space="0" w:color="FFFFFF"/>
              <w:left w:val="single" w:sz="8" w:space="0" w:color="FFFFFF"/>
              <w:bottom w:val="single" w:sz="8" w:space="0" w:color="FFFFFF"/>
              <w:right w:val="single" w:sz="8" w:space="0" w:color="FFFFFF"/>
            </w:tcBorders>
            <w:shd w:val="clear" w:color="auto" w:fill="7F7F7F"/>
            <w:tcMar>
              <w:top w:w="15" w:type="dxa"/>
              <w:left w:w="70" w:type="dxa"/>
              <w:bottom w:w="0" w:type="dxa"/>
              <w:right w:w="70" w:type="dxa"/>
            </w:tcMar>
            <w:vAlign w:val="center"/>
            <w:hideMark/>
          </w:tcPr>
          <w:p w:rsidR="00D206EE" w:rsidRPr="00AB335D" w:rsidRDefault="00876C89" w:rsidP="00344A78">
            <w:pPr>
              <w:spacing w:after="0" w:line="240" w:lineRule="auto"/>
              <w:jc w:val="both"/>
              <w:rPr>
                <w:rFonts w:cstheme="minorHAnsi"/>
                <w:sz w:val="24"/>
                <w:szCs w:val="24"/>
              </w:rPr>
            </w:pPr>
            <w:r w:rsidRPr="00AB335D">
              <w:rPr>
                <w:b/>
                <w:bCs/>
                <w:sz w:val="24"/>
                <w:szCs w:val="24"/>
              </w:rPr>
              <w:t>&lt;0,001</w:t>
            </w:r>
          </w:p>
        </w:tc>
      </w:tr>
      <w:tr w:rsidR="00876C89" w:rsidRPr="00AB335D" w:rsidTr="00876C89">
        <w:trPr>
          <w:trHeight w:val="513"/>
        </w:trPr>
        <w:tc>
          <w:tcPr>
            <w:tcW w:w="0" w:type="auto"/>
            <w:tcBorders>
              <w:top w:val="single" w:sz="8" w:space="0" w:color="FFFFFF"/>
              <w:left w:val="single" w:sz="8" w:space="0" w:color="FFFFFF"/>
              <w:bottom w:val="single" w:sz="8" w:space="0" w:color="FFFFFF"/>
              <w:right w:val="single" w:sz="8" w:space="0" w:color="FFFFFF"/>
            </w:tcBorders>
            <w:shd w:val="clear" w:color="auto" w:fill="7F7F7F"/>
            <w:tcMar>
              <w:top w:w="15" w:type="dxa"/>
              <w:left w:w="70" w:type="dxa"/>
              <w:bottom w:w="0" w:type="dxa"/>
              <w:right w:w="70" w:type="dxa"/>
            </w:tcMar>
            <w:vAlign w:val="center"/>
            <w:hideMark/>
          </w:tcPr>
          <w:p w:rsidR="00D206EE" w:rsidRPr="00AB335D" w:rsidRDefault="00750449" w:rsidP="00344A78">
            <w:pPr>
              <w:spacing w:after="0" w:line="240" w:lineRule="auto"/>
              <w:jc w:val="both"/>
              <w:rPr>
                <w:rFonts w:cstheme="minorHAnsi"/>
                <w:sz w:val="24"/>
                <w:szCs w:val="24"/>
              </w:rPr>
            </w:pPr>
            <w:r w:rsidRPr="00AB335D">
              <w:rPr>
                <w:b/>
                <w:bCs/>
                <w:sz w:val="24"/>
                <w:szCs w:val="24"/>
              </w:rPr>
              <w:t>Programak detektatutakoa**</w:t>
            </w:r>
          </w:p>
        </w:tc>
        <w:tc>
          <w:tcPr>
            <w:tcW w:w="0" w:type="auto"/>
            <w:tcBorders>
              <w:top w:val="single" w:sz="8" w:space="0" w:color="FFFFFF"/>
              <w:left w:val="single" w:sz="8" w:space="0" w:color="FFFFFF"/>
              <w:bottom w:val="single" w:sz="8" w:space="0" w:color="FFFFFF"/>
              <w:right w:val="single" w:sz="8" w:space="0" w:color="FFFFFF"/>
            </w:tcBorders>
            <w:shd w:val="clear" w:color="auto" w:fill="7F7F7F"/>
            <w:tcMar>
              <w:top w:w="15" w:type="dxa"/>
              <w:left w:w="70" w:type="dxa"/>
              <w:bottom w:w="0" w:type="dxa"/>
              <w:right w:w="70" w:type="dxa"/>
            </w:tcMar>
            <w:vAlign w:val="center"/>
            <w:hideMark/>
          </w:tcPr>
          <w:p w:rsidR="00D206EE" w:rsidRPr="00AB335D" w:rsidRDefault="0090188D" w:rsidP="00344A78">
            <w:pPr>
              <w:spacing w:after="0" w:line="240" w:lineRule="auto"/>
              <w:jc w:val="both"/>
              <w:rPr>
                <w:rFonts w:cstheme="minorHAnsi"/>
                <w:sz w:val="24"/>
                <w:szCs w:val="24"/>
              </w:rPr>
            </w:pPr>
            <w:r w:rsidRPr="00AB335D">
              <w:rPr>
                <w:b/>
                <w:bCs/>
                <w:sz w:val="24"/>
                <w:szCs w:val="24"/>
              </w:rPr>
              <w:t>% 97,8</w:t>
            </w:r>
          </w:p>
        </w:tc>
        <w:tc>
          <w:tcPr>
            <w:tcW w:w="0" w:type="auto"/>
            <w:tcBorders>
              <w:top w:val="single" w:sz="8" w:space="0" w:color="FFFFFF"/>
              <w:left w:val="single" w:sz="8" w:space="0" w:color="FFFFFF"/>
              <w:bottom w:val="single" w:sz="8" w:space="0" w:color="FFFFFF"/>
              <w:right w:val="single" w:sz="8" w:space="0" w:color="FFFFFF"/>
            </w:tcBorders>
            <w:shd w:val="clear" w:color="auto" w:fill="7F7F7F"/>
            <w:tcMar>
              <w:top w:w="15" w:type="dxa"/>
              <w:left w:w="70" w:type="dxa"/>
              <w:bottom w:w="0" w:type="dxa"/>
              <w:right w:w="70" w:type="dxa"/>
            </w:tcMar>
            <w:vAlign w:val="center"/>
            <w:hideMark/>
          </w:tcPr>
          <w:p w:rsidR="00D206EE" w:rsidRPr="00AB335D" w:rsidRDefault="00876C89" w:rsidP="00344A78">
            <w:pPr>
              <w:spacing w:after="0" w:line="240" w:lineRule="auto"/>
              <w:jc w:val="both"/>
              <w:rPr>
                <w:rFonts w:cstheme="minorHAnsi"/>
                <w:sz w:val="24"/>
                <w:szCs w:val="24"/>
              </w:rPr>
            </w:pPr>
            <w:r w:rsidRPr="00AB335D">
              <w:rPr>
                <w:b/>
                <w:bCs/>
                <w:sz w:val="24"/>
                <w:szCs w:val="24"/>
              </w:rPr>
              <w:t>% 93,4</w:t>
            </w:r>
          </w:p>
        </w:tc>
        <w:tc>
          <w:tcPr>
            <w:tcW w:w="0" w:type="auto"/>
            <w:tcBorders>
              <w:top w:val="single" w:sz="8" w:space="0" w:color="FFFFFF"/>
              <w:left w:val="single" w:sz="8" w:space="0" w:color="FFFFFF"/>
              <w:bottom w:val="single" w:sz="8" w:space="0" w:color="FFFFFF"/>
              <w:right w:val="single" w:sz="8" w:space="0" w:color="FFFFFF"/>
            </w:tcBorders>
            <w:shd w:val="clear" w:color="auto" w:fill="7F7F7F"/>
            <w:tcMar>
              <w:top w:w="15" w:type="dxa"/>
              <w:left w:w="70" w:type="dxa"/>
              <w:bottom w:w="0" w:type="dxa"/>
              <w:right w:w="70" w:type="dxa"/>
            </w:tcMar>
            <w:vAlign w:val="center"/>
            <w:hideMark/>
          </w:tcPr>
          <w:p w:rsidR="00D206EE" w:rsidRPr="00AB335D" w:rsidRDefault="00876C89" w:rsidP="00344A78">
            <w:pPr>
              <w:spacing w:after="0" w:line="240" w:lineRule="auto"/>
              <w:jc w:val="both"/>
              <w:rPr>
                <w:rFonts w:cstheme="minorHAnsi"/>
                <w:sz w:val="24"/>
                <w:szCs w:val="24"/>
              </w:rPr>
            </w:pPr>
            <w:r w:rsidRPr="00AB335D">
              <w:rPr>
                <w:b/>
                <w:bCs/>
                <w:sz w:val="24"/>
                <w:szCs w:val="24"/>
              </w:rPr>
              <w:t>% 90,1</w:t>
            </w:r>
          </w:p>
        </w:tc>
        <w:tc>
          <w:tcPr>
            <w:tcW w:w="1530" w:type="dxa"/>
            <w:vMerge/>
            <w:tcBorders>
              <w:top w:val="single" w:sz="24" w:space="0" w:color="FFFFFF"/>
              <w:left w:val="single" w:sz="8" w:space="0" w:color="FFFFFF"/>
              <w:bottom w:val="single" w:sz="8" w:space="0" w:color="FFFFFF"/>
              <w:right w:val="single" w:sz="8" w:space="0" w:color="FFFFFF"/>
            </w:tcBorders>
            <w:vAlign w:val="center"/>
            <w:hideMark/>
          </w:tcPr>
          <w:p w:rsidR="0090188D" w:rsidRPr="00AB335D" w:rsidRDefault="0090188D" w:rsidP="00344A78">
            <w:pPr>
              <w:spacing w:after="0" w:line="240" w:lineRule="auto"/>
              <w:jc w:val="both"/>
              <w:rPr>
                <w:rFonts w:cstheme="minorHAnsi"/>
                <w:sz w:val="24"/>
                <w:szCs w:val="24"/>
              </w:rPr>
            </w:pPr>
          </w:p>
        </w:tc>
      </w:tr>
    </w:tbl>
    <w:p w:rsidR="0090188D" w:rsidRPr="00AB335D" w:rsidRDefault="00750449" w:rsidP="00344A78">
      <w:pPr>
        <w:jc w:val="both"/>
        <w:rPr>
          <w:rFonts w:cstheme="minorHAnsi"/>
          <w:sz w:val="24"/>
          <w:szCs w:val="24"/>
        </w:rPr>
      </w:pPr>
      <w:r w:rsidRPr="00AB335D">
        <w:rPr>
          <w:sz w:val="24"/>
          <w:szCs w:val="24"/>
        </w:rPr>
        <w:t>N*= 3.309; N**=2.000</w:t>
      </w:r>
    </w:p>
    <w:p w:rsidR="00066439" w:rsidRPr="00AB335D" w:rsidRDefault="00066439" w:rsidP="00344A78">
      <w:pPr>
        <w:jc w:val="both"/>
        <w:rPr>
          <w:rFonts w:cstheme="minorHAnsi"/>
          <w:b/>
          <w:sz w:val="24"/>
          <w:szCs w:val="24"/>
          <w:u w:val="single"/>
        </w:rPr>
      </w:pPr>
      <w:r w:rsidRPr="00AB335D">
        <w:rPr>
          <w:b/>
          <w:sz w:val="24"/>
          <w:szCs w:val="24"/>
          <w:u w:val="single"/>
        </w:rPr>
        <w:t xml:space="preserve">Eztabaida </w:t>
      </w:r>
    </w:p>
    <w:p w:rsidR="00416C05" w:rsidRPr="00AB335D" w:rsidRDefault="004616B9" w:rsidP="00344A78">
      <w:pPr>
        <w:jc w:val="both"/>
        <w:rPr>
          <w:rFonts w:cstheme="minorHAnsi"/>
          <w:sz w:val="24"/>
          <w:szCs w:val="24"/>
        </w:rPr>
      </w:pPr>
      <w:r w:rsidRPr="00AB335D">
        <w:rPr>
          <w:sz w:val="24"/>
          <w:szCs w:val="24"/>
        </w:rPr>
        <w:t xml:space="preserve">Euskadin </w:t>
      </w:r>
      <w:proofErr w:type="spellStart"/>
      <w:r w:rsidRPr="00AB335D">
        <w:rPr>
          <w:sz w:val="24"/>
          <w:szCs w:val="24"/>
        </w:rPr>
        <w:t>KOMen</w:t>
      </w:r>
      <w:proofErr w:type="spellEnd"/>
      <w:r w:rsidRPr="00AB335D">
        <w:rPr>
          <w:sz w:val="24"/>
          <w:szCs w:val="24"/>
        </w:rPr>
        <w:t xml:space="preserve"> Baheketa Programa abian jartzeko estrategia minbiziaren aurkako estrategietan eta Europako Praktika Klinikoko Gidan </w:t>
      </w:r>
      <w:r w:rsidRPr="00AB335D">
        <w:rPr>
          <w:sz w:val="24"/>
          <w:szCs w:val="24"/>
          <w:vertAlign w:val="superscript"/>
        </w:rPr>
        <w:t>6</w:t>
      </w:r>
      <w:r w:rsidRPr="00AB335D">
        <w:rPr>
          <w:sz w:val="24"/>
          <w:szCs w:val="24"/>
        </w:rPr>
        <w:t xml:space="preserve"> jasotako irizpideetan oinarritu da, bai eta CANCON Proiektuan berriki jasotako gomendioetan ere</w:t>
      </w:r>
      <w:r w:rsidRPr="00AB335D">
        <w:rPr>
          <w:sz w:val="24"/>
          <w:szCs w:val="24"/>
          <w:vertAlign w:val="superscript"/>
        </w:rPr>
        <w:t>19</w:t>
      </w:r>
      <w:r w:rsidRPr="00AB335D">
        <w:rPr>
          <w:sz w:val="24"/>
          <w:szCs w:val="24"/>
        </w:rPr>
        <w:t>.</w:t>
      </w:r>
    </w:p>
    <w:p w:rsidR="008B44E0" w:rsidRPr="00AB335D" w:rsidRDefault="008B44E0" w:rsidP="00344A78">
      <w:pPr>
        <w:spacing w:before="120" w:afterLines="120" w:after="288"/>
        <w:jc w:val="both"/>
        <w:rPr>
          <w:rFonts w:cstheme="minorHAnsi"/>
          <w:color w:val="000000"/>
          <w:sz w:val="24"/>
          <w:szCs w:val="24"/>
        </w:rPr>
      </w:pPr>
      <w:r w:rsidRPr="00AB335D">
        <w:rPr>
          <w:color w:val="000000"/>
          <w:sz w:val="24"/>
          <w:szCs w:val="24"/>
        </w:rPr>
        <w:t xml:space="preserve">Dokumentu horretan gomendioak ematen dira baheketak abiarazi eta ezartzeko; bestalde, programen emaitzak minbiziaren eta heriotza-tasen biztanle-erregistroekin lotzea, eta </w:t>
      </w:r>
      <w:proofErr w:type="spellStart"/>
      <w:r w:rsidRPr="00AB335D">
        <w:rPr>
          <w:color w:val="000000"/>
          <w:sz w:val="24"/>
          <w:szCs w:val="24"/>
        </w:rPr>
        <w:t>monitorizazioan</w:t>
      </w:r>
      <w:proofErr w:type="spellEnd"/>
      <w:r w:rsidRPr="00AB335D">
        <w:rPr>
          <w:color w:val="000000"/>
          <w:sz w:val="24"/>
          <w:szCs w:val="24"/>
        </w:rPr>
        <w:t xml:space="preserve"> eta kalitatearen ebaluazioan inbertitzea beharrezkoa dela aipatzen da.</w:t>
      </w:r>
    </w:p>
    <w:p w:rsidR="000B179C" w:rsidRPr="00AB335D" w:rsidRDefault="00247398" w:rsidP="00344A78">
      <w:pPr>
        <w:spacing w:before="120" w:afterLines="120" w:after="288"/>
        <w:jc w:val="both"/>
        <w:rPr>
          <w:rFonts w:cstheme="minorHAnsi"/>
          <w:color w:val="000000"/>
          <w:sz w:val="24"/>
          <w:szCs w:val="24"/>
        </w:rPr>
      </w:pPr>
      <w:r w:rsidRPr="00AB335D">
        <w:rPr>
          <w:color w:val="000000"/>
          <w:sz w:val="24"/>
          <w:szCs w:val="24"/>
        </w:rPr>
        <w:t>Programaren hedapenari dagokionez, lehen gonbidapenean estaldura lortu duen lehen autonomia-erkidegoa izan gara. 2016an Osasun Sistema Nazionalaren estaldura 50-69 urte bitarteko populazioan % 31koa izan zen</w:t>
      </w:r>
      <w:r w:rsidRPr="00AB335D">
        <w:rPr>
          <w:color w:val="000000"/>
          <w:sz w:val="24"/>
          <w:szCs w:val="24"/>
          <w:vertAlign w:val="superscript"/>
        </w:rPr>
        <w:t>20</w:t>
      </w:r>
      <w:r w:rsidRPr="00AB335D">
        <w:rPr>
          <w:color w:val="000000"/>
          <w:sz w:val="24"/>
          <w:szCs w:val="24"/>
        </w:rPr>
        <w:t xml:space="preserve">. Herrialdekako baheketen egoerari buruzko Europako 2013ko txostenaren arabera, Autonomia Erkidegoen estaldura eta parte-hartzea batez bestekoaren azpitik egon da.  </w:t>
      </w:r>
    </w:p>
    <w:p w:rsidR="00247398" w:rsidRPr="00AB335D" w:rsidRDefault="00247398" w:rsidP="00344A78">
      <w:pPr>
        <w:spacing w:before="120" w:afterLines="120" w:after="288"/>
        <w:jc w:val="both"/>
        <w:rPr>
          <w:rFonts w:cstheme="minorHAnsi"/>
          <w:color w:val="000000"/>
          <w:sz w:val="24"/>
          <w:szCs w:val="24"/>
        </w:rPr>
      </w:pPr>
      <w:r w:rsidRPr="00AB335D">
        <w:rPr>
          <w:color w:val="000000"/>
          <w:sz w:val="24"/>
          <w:szCs w:val="24"/>
        </w:rPr>
        <w:t xml:space="preserve">Euskadiko Programan nabarmentzekoak dira lortutako parte-hartze tasa altua eta goranzko joera; izan ere, 2011tik gainditu egin dira kalitatea bermatzeko Europako </w:t>
      </w:r>
      <w:proofErr w:type="spellStart"/>
      <w:r w:rsidRPr="00AB335D">
        <w:rPr>
          <w:color w:val="000000"/>
          <w:sz w:val="24"/>
          <w:szCs w:val="24"/>
        </w:rPr>
        <w:t>PKGaren</w:t>
      </w:r>
      <w:proofErr w:type="spellEnd"/>
      <w:r w:rsidRPr="00AB335D">
        <w:rPr>
          <w:color w:val="000000"/>
          <w:sz w:val="24"/>
          <w:szCs w:val="24"/>
        </w:rPr>
        <w:t xml:space="preserve"> gomendioak (&gt; % 65). Hala eta guztiz, alde nabarmena antzematen da emakumeen eta gizonen artean; azken horien parte-hartzeak baxuagoa izaten jarraitzen du, nahiz eta emakumeen kasuan baino askoz handiagoa den lesio aurreratuen eta minbiziaren detekzioa, KOM programetan gertatzen den bezala</w:t>
      </w:r>
      <w:r w:rsidRPr="00AB335D">
        <w:rPr>
          <w:color w:val="000000"/>
          <w:sz w:val="24"/>
          <w:szCs w:val="24"/>
          <w:vertAlign w:val="superscript"/>
        </w:rPr>
        <w:t>21-22</w:t>
      </w:r>
      <w:r w:rsidRPr="00AB335D">
        <w:rPr>
          <w:color w:val="000000"/>
          <w:sz w:val="24"/>
          <w:szCs w:val="24"/>
        </w:rPr>
        <w:t xml:space="preserve">.  Ebidentzia zientifikoek erakusten dute etxera informazio-gutunak eta </w:t>
      </w:r>
      <w:proofErr w:type="spellStart"/>
      <w:r w:rsidRPr="00AB335D">
        <w:rPr>
          <w:color w:val="000000"/>
          <w:sz w:val="24"/>
          <w:szCs w:val="24"/>
        </w:rPr>
        <w:t>kit-ak</w:t>
      </w:r>
      <w:proofErr w:type="spellEnd"/>
      <w:r w:rsidRPr="00AB335D">
        <w:rPr>
          <w:color w:val="000000"/>
          <w:sz w:val="24"/>
          <w:szCs w:val="24"/>
        </w:rPr>
        <w:t xml:space="preserve"> bidalita parte-hartzea hobetu egiten dela</w:t>
      </w:r>
      <w:r w:rsidRPr="00AB335D">
        <w:rPr>
          <w:color w:val="000000"/>
          <w:sz w:val="24"/>
          <w:szCs w:val="24"/>
          <w:vertAlign w:val="superscript"/>
        </w:rPr>
        <w:t>23-24</w:t>
      </w:r>
      <w:r w:rsidRPr="00AB335D">
        <w:rPr>
          <w:color w:val="000000"/>
          <w:sz w:val="24"/>
          <w:szCs w:val="24"/>
        </w:rPr>
        <w:t xml:space="preserve">. Euskadiko programan, prozesu osoan zehar handia izan da Lehen Mailako Arretako profesionalen parte-hartzea, horrek partaidetza handian eragina izan dezakeela ikusi da; hori dela eta, oraindik argitaratzeke dagoen azterketa sakon bat egin behar izan da; izan ere, bibliografian ebidentzia gutxi dago oraindik </w:t>
      </w:r>
      <w:r w:rsidRPr="00AB335D">
        <w:rPr>
          <w:color w:val="000000"/>
          <w:sz w:val="24"/>
          <w:szCs w:val="24"/>
          <w:vertAlign w:val="superscript"/>
        </w:rPr>
        <w:t>25</w:t>
      </w:r>
      <w:r w:rsidRPr="00AB335D">
        <w:rPr>
          <w:color w:val="000000"/>
          <w:sz w:val="24"/>
          <w:szCs w:val="24"/>
        </w:rPr>
        <w:t>.</w:t>
      </w:r>
    </w:p>
    <w:p w:rsidR="00563982" w:rsidRPr="00AB335D" w:rsidRDefault="00D33F82" w:rsidP="00344A78">
      <w:pPr>
        <w:spacing w:before="120" w:afterLines="120" w:after="288"/>
        <w:jc w:val="both"/>
        <w:rPr>
          <w:rFonts w:cstheme="minorHAnsi"/>
          <w:color w:val="000000"/>
          <w:sz w:val="24"/>
          <w:szCs w:val="24"/>
        </w:rPr>
      </w:pPr>
      <w:r w:rsidRPr="00AB335D">
        <w:rPr>
          <w:color w:val="000000"/>
          <w:sz w:val="24"/>
          <w:szCs w:val="24"/>
        </w:rPr>
        <w:t xml:space="preserve">Kontuan izan behar da, halaber, zer faktore sozioekonomiko dauden lotuta parte-hartzearekin; Horrek, aurreko kasuan bezala, azterketa sakonagoa eskatzen du; izan ere, lehen azterketetan zera ikusi zen, estutasun sozioekonomikoari eta sexuari lotutako aldakortasun bat zegoela; hala, profil sozioekonomiko baxueneko gizonek </w:t>
      </w:r>
      <w:r w:rsidRPr="00AB335D">
        <w:rPr>
          <w:color w:val="000000"/>
          <w:sz w:val="24"/>
          <w:szCs w:val="24"/>
        </w:rPr>
        <w:lastRenderedPageBreak/>
        <w:t>parte-hartze tasa txikienak eta lesio aurreratu eta minbizi-tasa handienak zituzten</w:t>
      </w:r>
      <w:r w:rsidRPr="00AB335D">
        <w:rPr>
          <w:color w:val="000000"/>
          <w:sz w:val="24"/>
          <w:szCs w:val="24"/>
          <w:vertAlign w:val="superscript"/>
        </w:rPr>
        <w:t xml:space="preserve">26, </w:t>
      </w:r>
      <w:r w:rsidRPr="00AB335D">
        <w:rPr>
          <w:color w:val="000000"/>
          <w:sz w:val="24"/>
          <w:szCs w:val="24"/>
        </w:rPr>
        <w:t>, Erresuma Batuan argitaratutako azterlanei jarraikiz</w:t>
      </w:r>
      <w:r w:rsidRPr="00AB335D">
        <w:rPr>
          <w:color w:val="000000"/>
          <w:sz w:val="24"/>
          <w:szCs w:val="24"/>
          <w:vertAlign w:val="superscript"/>
        </w:rPr>
        <w:t>27</w:t>
      </w:r>
      <w:r w:rsidRPr="00AB335D">
        <w:rPr>
          <w:color w:val="000000"/>
          <w:sz w:val="24"/>
          <w:szCs w:val="24"/>
        </w:rPr>
        <w:t>.</w:t>
      </w:r>
    </w:p>
    <w:p w:rsidR="00F361E9" w:rsidRPr="00AB335D" w:rsidRDefault="00691020" w:rsidP="00344A78">
      <w:pPr>
        <w:spacing w:before="120" w:afterLines="120" w:after="288"/>
        <w:jc w:val="both"/>
        <w:rPr>
          <w:rFonts w:cstheme="minorHAnsi"/>
          <w:color w:val="000000"/>
          <w:sz w:val="24"/>
          <w:szCs w:val="24"/>
        </w:rPr>
      </w:pPr>
      <w:r w:rsidRPr="00AB335D">
        <w:rPr>
          <w:color w:val="000000"/>
          <w:sz w:val="24"/>
          <w:szCs w:val="24"/>
        </w:rPr>
        <w:t>Diagnosia egiaztatzeko probari dagokionez (</w:t>
      </w:r>
      <w:proofErr w:type="spellStart"/>
      <w:r w:rsidRPr="00AB335D">
        <w:rPr>
          <w:color w:val="000000"/>
          <w:sz w:val="24"/>
          <w:szCs w:val="24"/>
        </w:rPr>
        <w:t>kolonoskopia</w:t>
      </w:r>
      <w:proofErr w:type="spellEnd"/>
      <w:r w:rsidRPr="00AB335D">
        <w:rPr>
          <w:color w:val="000000"/>
          <w:sz w:val="24"/>
          <w:szCs w:val="24"/>
        </w:rPr>
        <w:t xml:space="preserve">), atxikimendu handia ikusi da; hori bai, prestaketa egokiaren eta konplikazioen tasa Europako gomendioei jarraikiz monitorizatu eta hobetu beharreko parametroak dira. </w:t>
      </w:r>
    </w:p>
    <w:p w:rsidR="00A10718" w:rsidRPr="00AB335D" w:rsidRDefault="00F361E9" w:rsidP="00344A78">
      <w:pPr>
        <w:spacing w:before="120" w:afterLines="120" w:after="288"/>
        <w:jc w:val="both"/>
        <w:rPr>
          <w:rFonts w:cstheme="minorHAnsi"/>
          <w:color w:val="000000"/>
          <w:sz w:val="24"/>
          <w:szCs w:val="24"/>
        </w:rPr>
      </w:pPr>
      <w:r w:rsidRPr="00AB335D">
        <w:rPr>
          <w:color w:val="000000"/>
          <w:sz w:val="24"/>
          <w:szCs w:val="24"/>
        </w:rPr>
        <w:t xml:space="preserve">Programaren eraginkortasuna eta epe ertain eta luzerako eraginak erakusten dute abian jartzeko estrategia emaitza onargarriak ekartzen ari dela onurei dagokienez; hori bai, beharrezkoa da ikertzen jarraitzea probaren sentsibilitatea eta espezifikotasuna hobetzeko; izan ere, adinaren eta sexuaren arabera </w:t>
      </w:r>
      <w:proofErr w:type="spellStart"/>
      <w:r w:rsidRPr="00AB335D">
        <w:rPr>
          <w:color w:val="000000"/>
          <w:sz w:val="24"/>
          <w:szCs w:val="24"/>
        </w:rPr>
        <w:t>FITaren</w:t>
      </w:r>
      <w:proofErr w:type="spellEnd"/>
      <w:r w:rsidRPr="00AB335D">
        <w:rPr>
          <w:color w:val="000000"/>
          <w:sz w:val="24"/>
          <w:szCs w:val="24"/>
        </w:rPr>
        <w:t xml:space="preserve"> ebaketa-puntua aldatzeari buruzko literatura eskuragarri badago ere, gure kasuan ez litzateke ez eraginkorra ez efizientea izango</w:t>
      </w:r>
      <w:r w:rsidRPr="00AB335D">
        <w:rPr>
          <w:color w:val="000000"/>
          <w:sz w:val="24"/>
          <w:szCs w:val="24"/>
          <w:vertAlign w:val="superscript"/>
        </w:rPr>
        <w:t>28</w:t>
      </w:r>
      <w:r w:rsidRPr="00AB335D">
        <w:rPr>
          <w:color w:val="000000"/>
          <w:sz w:val="24"/>
          <w:szCs w:val="24"/>
        </w:rPr>
        <w:t xml:space="preserve">, eta ez luke bitarteko minbizirik eragotziko. Esan beharra dago, baheketa aurretik </w:t>
      </w:r>
      <w:proofErr w:type="spellStart"/>
      <w:r w:rsidRPr="00AB335D">
        <w:rPr>
          <w:color w:val="000000"/>
          <w:sz w:val="24"/>
          <w:szCs w:val="24"/>
        </w:rPr>
        <w:t>KOMen</w:t>
      </w:r>
      <w:proofErr w:type="spellEnd"/>
      <w:r w:rsidRPr="00AB335D">
        <w:rPr>
          <w:color w:val="000000"/>
          <w:sz w:val="24"/>
          <w:szCs w:val="24"/>
        </w:rPr>
        <w:t xml:space="preserve"> % 40 soilik detektatzen zirela hasierako estadioetan; baheketan alderantziz gertatzen da, eta biziraupena handiagoa da 1, 3 eta 5 urtera. </w:t>
      </w:r>
      <w:proofErr w:type="spellStart"/>
      <w:r w:rsidRPr="00AB335D">
        <w:rPr>
          <w:color w:val="000000"/>
          <w:sz w:val="24"/>
          <w:szCs w:val="24"/>
        </w:rPr>
        <w:t>MISCAN-colon</w:t>
      </w:r>
      <w:proofErr w:type="spellEnd"/>
      <w:r w:rsidRPr="00AB335D">
        <w:rPr>
          <w:color w:val="000000"/>
          <w:sz w:val="24"/>
          <w:szCs w:val="24"/>
        </w:rPr>
        <w:t xml:space="preserve"> eredua aplikatuta, onura eta kostu-eraginkortasun azterketak argitaratu dira berriki, eta aldeko denbora-garapen bat eskaintzen dute </w:t>
      </w:r>
      <w:r w:rsidRPr="00AB335D">
        <w:rPr>
          <w:color w:val="000000"/>
          <w:sz w:val="24"/>
          <w:szCs w:val="24"/>
          <w:vertAlign w:val="superscript"/>
        </w:rPr>
        <w:t>29-30</w:t>
      </w:r>
      <w:r w:rsidRPr="00AB335D">
        <w:rPr>
          <w:color w:val="000000"/>
          <w:sz w:val="24"/>
          <w:szCs w:val="24"/>
        </w:rPr>
        <w:t>. Hori bai, beharrezkoa da minbiziaren eta heriotza-tasen erregistroekin etengabe monitorizatzea. Gaur egun FIT bidezko baheketak epe ertain eta luzera duen eraginari buruzko ebidentzia gutxi dago oraindik, azken 10 urteetan soilik egin baita.</w:t>
      </w:r>
    </w:p>
    <w:p w:rsidR="00DF4E4A" w:rsidRPr="00AB335D" w:rsidRDefault="00A10718" w:rsidP="00344A78">
      <w:pPr>
        <w:spacing w:before="120" w:afterLines="120" w:after="288"/>
        <w:jc w:val="both"/>
        <w:rPr>
          <w:rFonts w:cstheme="minorHAnsi"/>
          <w:sz w:val="24"/>
          <w:szCs w:val="24"/>
        </w:rPr>
      </w:pPr>
      <w:r w:rsidRPr="00AB335D">
        <w:rPr>
          <w:color w:val="000000"/>
          <w:sz w:val="24"/>
          <w:szCs w:val="24"/>
        </w:rPr>
        <w:t xml:space="preserve"> </w:t>
      </w:r>
      <w:r w:rsidRPr="00AB335D">
        <w:rPr>
          <w:b/>
          <w:sz w:val="24"/>
          <w:szCs w:val="24"/>
          <w:u w:val="single"/>
        </w:rPr>
        <w:t>Ondorioak eta Gomendioak</w:t>
      </w:r>
    </w:p>
    <w:p w:rsidR="00066439" w:rsidRPr="00AB335D" w:rsidRDefault="00D86B2D" w:rsidP="00D86B2D">
      <w:pPr>
        <w:spacing w:before="120" w:afterLines="120" w:after="288"/>
        <w:jc w:val="both"/>
        <w:rPr>
          <w:rFonts w:cstheme="minorHAnsi"/>
          <w:b/>
          <w:sz w:val="24"/>
          <w:szCs w:val="24"/>
          <w:u w:val="single"/>
        </w:rPr>
      </w:pPr>
      <w:r w:rsidRPr="00AB335D">
        <w:rPr>
          <w:sz w:val="24"/>
          <w:szCs w:val="24"/>
        </w:rPr>
        <w:t xml:space="preserve">Euskadiko KOM baheketa programaren estrategia eta emaitzak bat datoz Europako gomendioekin eta eskuragarri dauden ebidentziekin. Beharrezkoa da desberdintasunen murrizketan eta eraginkortasunaren hobekuntzan ikertzen jarraitzea.  </w:t>
      </w:r>
      <w:proofErr w:type="spellStart"/>
      <w:r w:rsidRPr="00AB335D">
        <w:rPr>
          <w:sz w:val="24"/>
          <w:szCs w:val="24"/>
        </w:rPr>
        <w:t>Baheketa-kolonoskopien</w:t>
      </w:r>
      <w:proofErr w:type="spellEnd"/>
      <w:r w:rsidRPr="00AB335D">
        <w:rPr>
          <w:sz w:val="24"/>
          <w:szCs w:val="24"/>
        </w:rPr>
        <w:t xml:space="preserve"> kalitatea monitorizatu egin behar da kontrako efektuak murrizteko eta prestaketa ez egokitik eratorritako gastuak gutxitzeko. Beharrezkoa da programaren kalitate globalean inbertitzen jarraitzea haren </w:t>
      </w:r>
      <w:proofErr w:type="spellStart"/>
      <w:r w:rsidRPr="00AB335D">
        <w:rPr>
          <w:sz w:val="24"/>
          <w:szCs w:val="24"/>
        </w:rPr>
        <w:t>ekitate</w:t>
      </w:r>
      <w:proofErr w:type="spellEnd"/>
      <w:r w:rsidRPr="00AB335D">
        <w:rPr>
          <w:sz w:val="24"/>
          <w:szCs w:val="24"/>
        </w:rPr>
        <w:t>, eraginkortasun eta efizientzia bermatzea ahalbidetzen duten azterketen bidez.</w:t>
      </w:r>
    </w:p>
    <w:p w:rsidR="00066439" w:rsidRPr="00AB335D" w:rsidRDefault="00066439" w:rsidP="00344A78">
      <w:pPr>
        <w:jc w:val="both"/>
        <w:rPr>
          <w:rFonts w:cstheme="minorHAnsi"/>
          <w:b/>
          <w:sz w:val="24"/>
          <w:szCs w:val="24"/>
          <w:u w:val="single"/>
        </w:rPr>
      </w:pPr>
      <w:r w:rsidRPr="00AB335D">
        <w:rPr>
          <w:b/>
          <w:sz w:val="24"/>
          <w:szCs w:val="24"/>
          <w:u w:val="single"/>
        </w:rPr>
        <w:t>Bibliografia</w:t>
      </w:r>
    </w:p>
    <w:p w:rsidR="00066439" w:rsidRPr="00AB335D" w:rsidRDefault="00066439" w:rsidP="00344A78">
      <w:pPr>
        <w:pStyle w:val="Prrafodelista"/>
        <w:numPr>
          <w:ilvl w:val="0"/>
          <w:numId w:val="1"/>
        </w:numPr>
        <w:spacing w:before="100" w:beforeAutospacing="1" w:after="100" w:afterAutospacing="1"/>
        <w:jc w:val="both"/>
        <w:rPr>
          <w:rFonts w:cstheme="minorHAnsi"/>
          <w:sz w:val="24"/>
          <w:szCs w:val="24"/>
        </w:rPr>
      </w:pPr>
      <w:proofErr w:type="spellStart"/>
      <w:r w:rsidRPr="00AB335D">
        <w:rPr>
          <w:rStyle w:val="Refdenotaalpie"/>
          <w:sz w:val="24"/>
          <w:szCs w:val="24"/>
          <w:vertAlign w:val="baseline"/>
          <w:lang w:val="en-US"/>
        </w:rPr>
        <w:t>Ferlay</w:t>
      </w:r>
      <w:proofErr w:type="spellEnd"/>
      <w:r w:rsidRPr="00AB335D">
        <w:rPr>
          <w:rStyle w:val="Refdenotaalpie"/>
          <w:sz w:val="24"/>
          <w:szCs w:val="24"/>
          <w:vertAlign w:val="baseline"/>
          <w:lang w:val="en-US"/>
        </w:rPr>
        <w:t xml:space="preserve"> J, </w:t>
      </w:r>
      <w:proofErr w:type="spellStart"/>
      <w:r w:rsidRPr="00AB335D">
        <w:rPr>
          <w:rStyle w:val="Refdenotaalpie"/>
          <w:sz w:val="24"/>
          <w:szCs w:val="24"/>
          <w:vertAlign w:val="baseline"/>
          <w:lang w:val="en-US"/>
        </w:rPr>
        <w:t>Soerjomataram</w:t>
      </w:r>
      <w:proofErr w:type="spellEnd"/>
      <w:r w:rsidRPr="00AB335D">
        <w:rPr>
          <w:rStyle w:val="Refdenotaalpie"/>
          <w:sz w:val="24"/>
          <w:szCs w:val="24"/>
          <w:vertAlign w:val="baseline"/>
          <w:lang w:val="en-US"/>
        </w:rPr>
        <w:t xml:space="preserve"> I, </w:t>
      </w:r>
      <w:proofErr w:type="spellStart"/>
      <w:r w:rsidRPr="00AB335D">
        <w:rPr>
          <w:rStyle w:val="Refdenotaalpie"/>
          <w:sz w:val="24"/>
          <w:szCs w:val="24"/>
          <w:vertAlign w:val="baseline"/>
          <w:lang w:val="en-US"/>
        </w:rPr>
        <w:t>Ervik</w:t>
      </w:r>
      <w:proofErr w:type="spellEnd"/>
      <w:r w:rsidRPr="00AB335D">
        <w:rPr>
          <w:rStyle w:val="Refdenotaalpie"/>
          <w:sz w:val="24"/>
          <w:szCs w:val="24"/>
          <w:vertAlign w:val="baseline"/>
          <w:lang w:val="en-US"/>
        </w:rPr>
        <w:t xml:space="preserve"> M, </w:t>
      </w:r>
      <w:proofErr w:type="spellStart"/>
      <w:r w:rsidRPr="00AB335D">
        <w:rPr>
          <w:rStyle w:val="Refdenotaalpie"/>
          <w:sz w:val="24"/>
          <w:szCs w:val="24"/>
          <w:vertAlign w:val="baseline"/>
          <w:lang w:val="en-US"/>
        </w:rPr>
        <w:t>Dikshit</w:t>
      </w:r>
      <w:proofErr w:type="spellEnd"/>
      <w:r w:rsidRPr="00AB335D">
        <w:rPr>
          <w:rStyle w:val="Refdenotaalpie"/>
          <w:sz w:val="24"/>
          <w:szCs w:val="24"/>
          <w:vertAlign w:val="baseline"/>
          <w:lang w:val="en-US"/>
        </w:rPr>
        <w:t xml:space="preserve"> R, </w:t>
      </w:r>
      <w:proofErr w:type="spellStart"/>
      <w:r w:rsidRPr="00AB335D">
        <w:rPr>
          <w:rStyle w:val="Refdenotaalpie"/>
          <w:sz w:val="24"/>
          <w:szCs w:val="24"/>
          <w:vertAlign w:val="baseline"/>
          <w:lang w:val="en-US"/>
        </w:rPr>
        <w:t>Eser</w:t>
      </w:r>
      <w:proofErr w:type="spellEnd"/>
      <w:r w:rsidRPr="00AB335D">
        <w:rPr>
          <w:rStyle w:val="Refdenotaalpie"/>
          <w:sz w:val="24"/>
          <w:szCs w:val="24"/>
          <w:vertAlign w:val="baseline"/>
          <w:lang w:val="en-US"/>
        </w:rPr>
        <w:t xml:space="preserve"> S, Mathers C</w:t>
      </w:r>
      <w:r w:rsidRPr="00AB335D">
        <w:rPr>
          <w:sz w:val="24"/>
          <w:szCs w:val="24"/>
          <w:lang w:val="en-US"/>
        </w:rPr>
        <w:t xml:space="preserve"> </w:t>
      </w:r>
      <w:proofErr w:type="gramStart"/>
      <w:r w:rsidRPr="00AB335D">
        <w:rPr>
          <w:sz w:val="24"/>
          <w:szCs w:val="24"/>
          <w:lang w:val="en-US"/>
        </w:rPr>
        <w:t>et</w:t>
      </w:r>
      <w:proofErr w:type="gramEnd"/>
      <w:r w:rsidRPr="00AB335D">
        <w:rPr>
          <w:sz w:val="24"/>
          <w:szCs w:val="24"/>
          <w:lang w:val="en-US"/>
        </w:rPr>
        <w:t xml:space="preserve"> al</w:t>
      </w:r>
      <w:r w:rsidRPr="00AB335D">
        <w:rPr>
          <w:rStyle w:val="Refdenotaalpie"/>
          <w:sz w:val="24"/>
          <w:szCs w:val="24"/>
          <w:vertAlign w:val="baseline"/>
          <w:lang w:val="en-US"/>
        </w:rPr>
        <w:t xml:space="preserve">. </w:t>
      </w:r>
      <w:r w:rsidRPr="00AB335D">
        <w:rPr>
          <w:sz w:val="24"/>
          <w:szCs w:val="24"/>
          <w:lang w:val="en-US"/>
        </w:rPr>
        <w:t xml:space="preserve">Cancer Incidence and mortality worldwide: Sources, methods and major patterns in </w:t>
      </w:r>
      <w:r w:rsidRPr="00AB335D">
        <w:rPr>
          <w:rStyle w:val="Refdenotaalpie"/>
          <w:sz w:val="24"/>
          <w:szCs w:val="24"/>
          <w:vertAlign w:val="baseline"/>
          <w:lang w:val="en-US"/>
        </w:rPr>
        <w:t xml:space="preserve">GLOBOCAN 2012. </w:t>
      </w:r>
      <w:proofErr w:type="spellStart"/>
      <w:r w:rsidRPr="00AB335D">
        <w:rPr>
          <w:sz w:val="24"/>
          <w:szCs w:val="24"/>
          <w:lang w:val="en-US"/>
        </w:rPr>
        <w:t>Int</w:t>
      </w:r>
      <w:proofErr w:type="spellEnd"/>
      <w:r w:rsidRPr="00AB335D">
        <w:rPr>
          <w:sz w:val="24"/>
          <w:szCs w:val="24"/>
          <w:lang w:val="en-US"/>
        </w:rPr>
        <w:t xml:space="preserve"> J Cancer 2015; 136: E359-E386. </w:t>
      </w:r>
      <w:proofErr w:type="spellStart"/>
      <w:r w:rsidRPr="00AB335D">
        <w:rPr>
          <w:sz w:val="24"/>
          <w:szCs w:val="24"/>
        </w:rPr>
        <w:t>Disponible</w:t>
      </w:r>
      <w:proofErr w:type="spellEnd"/>
      <w:r w:rsidRPr="00AB335D">
        <w:rPr>
          <w:sz w:val="24"/>
          <w:szCs w:val="24"/>
        </w:rPr>
        <w:t xml:space="preserve"> </w:t>
      </w:r>
      <w:proofErr w:type="spellStart"/>
      <w:r w:rsidRPr="00AB335D">
        <w:rPr>
          <w:sz w:val="24"/>
          <w:szCs w:val="24"/>
        </w:rPr>
        <w:t>en</w:t>
      </w:r>
      <w:proofErr w:type="spellEnd"/>
      <w:r w:rsidRPr="00AB335D">
        <w:rPr>
          <w:sz w:val="24"/>
          <w:szCs w:val="24"/>
        </w:rPr>
        <w:t xml:space="preserve">: </w:t>
      </w:r>
      <w:hyperlink r:id="rId13" w:history="1">
        <w:r w:rsidRPr="00AB335D">
          <w:rPr>
            <w:rStyle w:val="Hipervnculo"/>
            <w:sz w:val="24"/>
            <w:szCs w:val="24"/>
          </w:rPr>
          <w:t>http://globocan.iarc.fr/Default.aspx</w:t>
        </w:r>
      </w:hyperlink>
      <w:r w:rsidRPr="00AB335D">
        <w:rPr>
          <w:sz w:val="24"/>
          <w:szCs w:val="24"/>
        </w:rPr>
        <w:t xml:space="preserve">. </w:t>
      </w:r>
      <w:proofErr w:type="spellStart"/>
      <w:r w:rsidRPr="00AB335D">
        <w:rPr>
          <w:sz w:val="24"/>
          <w:szCs w:val="24"/>
        </w:rPr>
        <w:t>Acceso</w:t>
      </w:r>
      <w:proofErr w:type="spellEnd"/>
      <w:r w:rsidRPr="00AB335D">
        <w:rPr>
          <w:sz w:val="24"/>
          <w:szCs w:val="24"/>
        </w:rPr>
        <w:t>: 26/</w:t>
      </w:r>
      <w:proofErr w:type="spellStart"/>
      <w:r w:rsidRPr="00AB335D">
        <w:rPr>
          <w:sz w:val="24"/>
          <w:szCs w:val="24"/>
        </w:rPr>
        <w:t>Marzo</w:t>
      </w:r>
      <w:proofErr w:type="spellEnd"/>
      <w:r w:rsidRPr="00AB335D">
        <w:rPr>
          <w:sz w:val="24"/>
          <w:szCs w:val="24"/>
        </w:rPr>
        <w:t xml:space="preserve">/2018. </w:t>
      </w:r>
    </w:p>
    <w:p w:rsidR="00DB3D06" w:rsidRPr="00AB335D" w:rsidRDefault="00DB3D06" w:rsidP="00344A78">
      <w:pPr>
        <w:pStyle w:val="Prrafodelista"/>
        <w:numPr>
          <w:ilvl w:val="0"/>
          <w:numId w:val="1"/>
        </w:numPr>
        <w:spacing w:before="100" w:beforeAutospacing="1" w:after="100" w:afterAutospacing="1"/>
        <w:jc w:val="both"/>
        <w:rPr>
          <w:rFonts w:cstheme="minorHAnsi"/>
          <w:sz w:val="24"/>
          <w:szCs w:val="24"/>
        </w:rPr>
      </w:pPr>
      <w:proofErr w:type="spellStart"/>
      <w:r w:rsidRPr="00AB335D">
        <w:rPr>
          <w:rStyle w:val="Refdenotaalpie"/>
          <w:sz w:val="24"/>
          <w:szCs w:val="24"/>
          <w:vertAlign w:val="baseline"/>
        </w:rPr>
        <w:t>Departamento</w:t>
      </w:r>
      <w:proofErr w:type="spellEnd"/>
      <w:r w:rsidRPr="00AB335D">
        <w:rPr>
          <w:rStyle w:val="Refdenotaalpie"/>
          <w:sz w:val="24"/>
          <w:szCs w:val="24"/>
          <w:vertAlign w:val="baseline"/>
        </w:rPr>
        <w:t xml:space="preserve"> de </w:t>
      </w:r>
      <w:proofErr w:type="spellStart"/>
      <w:r w:rsidRPr="00AB335D">
        <w:rPr>
          <w:rStyle w:val="Refdenotaalpie"/>
          <w:sz w:val="24"/>
          <w:szCs w:val="24"/>
          <w:vertAlign w:val="baseline"/>
        </w:rPr>
        <w:t>Sanidad</w:t>
      </w:r>
      <w:proofErr w:type="spellEnd"/>
      <w:r w:rsidRPr="00AB335D">
        <w:rPr>
          <w:rStyle w:val="Refdenotaalpie"/>
          <w:sz w:val="24"/>
          <w:szCs w:val="24"/>
          <w:vertAlign w:val="baseline"/>
        </w:rPr>
        <w:t xml:space="preserve"> y </w:t>
      </w:r>
      <w:proofErr w:type="spellStart"/>
      <w:r w:rsidRPr="00AB335D">
        <w:rPr>
          <w:rStyle w:val="Refdenotaalpie"/>
          <w:sz w:val="24"/>
          <w:szCs w:val="24"/>
          <w:vertAlign w:val="baseline"/>
        </w:rPr>
        <w:t>Consumo</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El</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cáncer</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en</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el</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País</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Vasco</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Incidencia</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Mortalidad</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Supervivencia</w:t>
      </w:r>
      <w:proofErr w:type="spellEnd"/>
      <w:r w:rsidRPr="00AB335D">
        <w:rPr>
          <w:rStyle w:val="Refdenotaalpie"/>
          <w:sz w:val="24"/>
          <w:szCs w:val="24"/>
          <w:vertAlign w:val="baseline"/>
        </w:rPr>
        <w:t xml:space="preserve"> y </w:t>
      </w:r>
      <w:proofErr w:type="spellStart"/>
      <w:r w:rsidRPr="00AB335D">
        <w:rPr>
          <w:rStyle w:val="Refdenotaalpie"/>
          <w:sz w:val="24"/>
          <w:szCs w:val="24"/>
          <w:vertAlign w:val="baseline"/>
        </w:rPr>
        <w:t>evolución</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temporal</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Servicio</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Central</w:t>
      </w:r>
      <w:proofErr w:type="spellEnd"/>
      <w:r w:rsidRPr="00AB335D">
        <w:rPr>
          <w:rStyle w:val="Refdenotaalpie"/>
          <w:sz w:val="24"/>
          <w:szCs w:val="24"/>
          <w:vertAlign w:val="baseline"/>
        </w:rPr>
        <w:t xml:space="preserve"> de </w:t>
      </w:r>
      <w:proofErr w:type="spellStart"/>
      <w:r w:rsidRPr="00AB335D">
        <w:rPr>
          <w:rStyle w:val="Refdenotaalpie"/>
          <w:sz w:val="24"/>
          <w:szCs w:val="24"/>
          <w:vertAlign w:val="baseline"/>
        </w:rPr>
        <w:t>Publicaciones</w:t>
      </w:r>
      <w:proofErr w:type="spellEnd"/>
      <w:r w:rsidRPr="00AB335D">
        <w:rPr>
          <w:rStyle w:val="Refdenotaalpie"/>
          <w:sz w:val="24"/>
          <w:szCs w:val="24"/>
          <w:vertAlign w:val="baseline"/>
        </w:rPr>
        <w:t xml:space="preserve"> del </w:t>
      </w:r>
      <w:proofErr w:type="spellStart"/>
      <w:r w:rsidRPr="00AB335D">
        <w:rPr>
          <w:rStyle w:val="Refdenotaalpie"/>
          <w:sz w:val="24"/>
          <w:szCs w:val="24"/>
          <w:vertAlign w:val="baseline"/>
        </w:rPr>
        <w:t>Gobierno</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Vasco</w:t>
      </w:r>
      <w:proofErr w:type="spellEnd"/>
      <w:r w:rsidRPr="00AB335D">
        <w:rPr>
          <w:rStyle w:val="Refdenotaalpie"/>
          <w:sz w:val="24"/>
          <w:szCs w:val="24"/>
          <w:vertAlign w:val="baseline"/>
        </w:rPr>
        <w:t xml:space="preserve">. </w:t>
      </w:r>
      <w:proofErr w:type="spellStart"/>
      <w:r w:rsidRPr="00AB335D">
        <w:rPr>
          <w:rStyle w:val="Refdenotaalpie"/>
          <w:sz w:val="24"/>
          <w:szCs w:val="24"/>
          <w:vertAlign w:val="baseline"/>
        </w:rPr>
        <w:t>Octubre</w:t>
      </w:r>
      <w:proofErr w:type="spellEnd"/>
      <w:r w:rsidRPr="00AB335D">
        <w:rPr>
          <w:rStyle w:val="Refdenotaalpie"/>
          <w:sz w:val="24"/>
          <w:szCs w:val="24"/>
          <w:vertAlign w:val="baseline"/>
        </w:rPr>
        <w:t xml:space="preserve"> 2010. 126 </w:t>
      </w:r>
      <w:proofErr w:type="spellStart"/>
      <w:r w:rsidRPr="00AB335D">
        <w:rPr>
          <w:rStyle w:val="Refdenotaalpie"/>
          <w:sz w:val="24"/>
          <w:szCs w:val="24"/>
          <w:vertAlign w:val="baseline"/>
        </w:rPr>
        <w:t>pg</w:t>
      </w:r>
      <w:proofErr w:type="spellEnd"/>
      <w:r w:rsidRPr="00AB335D">
        <w:rPr>
          <w:rStyle w:val="Refdenotaalpie"/>
          <w:sz w:val="24"/>
          <w:szCs w:val="24"/>
          <w:vertAlign w:val="baseline"/>
        </w:rPr>
        <w:t>.</w:t>
      </w:r>
    </w:p>
    <w:p w:rsidR="00827935" w:rsidRPr="00AB335D" w:rsidRDefault="00827935" w:rsidP="00344A78">
      <w:pPr>
        <w:pStyle w:val="Default"/>
        <w:numPr>
          <w:ilvl w:val="0"/>
          <w:numId w:val="1"/>
        </w:numPr>
        <w:jc w:val="both"/>
        <w:rPr>
          <w:rFonts w:asciiTheme="minorHAnsi" w:eastAsiaTheme="minorHAnsi" w:hAnsiTheme="minorHAnsi" w:cstheme="minorHAnsi"/>
          <w:color w:val="auto"/>
        </w:rPr>
      </w:pPr>
      <w:proofErr w:type="spellStart"/>
      <w:r w:rsidRPr="00AB335D">
        <w:rPr>
          <w:rStyle w:val="Refdenotaalpie"/>
          <w:rFonts w:asciiTheme="minorHAnsi" w:hAnsiTheme="minorHAnsi"/>
          <w:color w:val="auto"/>
          <w:vertAlign w:val="baseline"/>
          <w:lang w:eastAsia="en-US"/>
        </w:rPr>
        <w:t>Departamento</w:t>
      </w:r>
      <w:proofErr w:type="spellEnd"/>
      <w:r w:rsidRPr="00AB335D">
        <w:rPr>
          <w:rStyle w:val="Refdenotaalpie"/>
          <w:rFonts w:asciiTheme="minorHAnsi" w:hAnsiTheme="minorHAnsi"/>
          <w:color w:val="auto"/>
          <w:vertAlign w:val="baseline"/>
          <w:lang w:eastAsia="en-US"/>
        </w:rPr>
        <w:t xml:space="preserve"> de </w:t>
      </w:r>
      <w:proofErr w:type="spellStart"/>
      <w:r w:rsidRPr="00AB335D">
        <w:rPr>
          <w:rStyle w:val="Refdenotaalpie"/>
          <w:rFonts w:asciiTheme="minorHAnsi" w:hAnsiTheme="minorHAnsi"/>
          <w:color w:val="auto"/>
          <w:vertAlign w:val="baseline"/>
          <w:lang w:eastAsia="en-US"/>
        </w:rPr>
        <w:t>Salud</w:t>
      </w:r>
      <w:proofErr w:type="spellEnd"/>
      <w:r w:rsidRPr="00AB335D">
        <w:rPr>
          <w:rStyle w:val="Refdenotaalpie"/>
          <w:rFonts w:asciiTheme="minorHAnsi" w:hAnsiTheme="minorHAnsi"/>
          <w:color w:val="auto"/>
          <w:vertAlign w:val="baseline"/>
          <w:lang w:eastAsia="en-US"/>
        </w:rPr>
        <w:t xml:space="preserve"> </w:t>
      </w:r>
      <w:proofErr w:type="spellStart"/>
      <w:r w:rsidRPr="00AB335D">
        <w:rPr>
          <w:rStyle w:val="Refdenotaalpie"/>
          <w:rFonts w:asciiTheme="minorHAnsi" w:hAnsiTheme="minorHAnsi"/>
          <w:color w:val="auto"/>
          <w:vertAlign w:val="baseline"/>
          <w:lang w:eastAsia="en-US"/>
        </w:rPr>
        <w:t>Gobierno</w:t>
      </w:r>
      <w:proofErr w:type="spellEnd"/>
      <w:r w:rsidRPr="00AB335D">
        <w:rPr>
          <w:rStyle w:val="Refdenotaalpie"/>
          <w:rFonts w:asciiTheme="minorHAnsi" w:hAnsiTheme="minorHAnsi"/>
          <w:color w:val="auto"/>
          <w:vertAlign w:val="baseline"/>
          <w:lang w:eastAsia="en-US"/>
        </w:rPr>
        <w:t xml:space="preserve"> </w:t>
      </w:r>
      <w:proofErr w:type="spellStart"/>
      <w:r w:rsidRPr="00AB335D">
        <w:rPr>
          <w:rStyle w:val="Refdenotaalpie"/>
          <w:rFonts w:asciiTheme="minorHAnsi" w:hAnsiTheme="minorHAnsi"/>
          <w:color w:val="auto"/>
          <w:vertAlign w:val="baseline"/>
          <w:lang w:eastAsia="en-US"/>
        </w:rPr>
        <w:t>Vasco</w:t>
      </w:r>
      <w:proofErr w:type="spellEnd"/>
      <w:r w:rsidRPr="00AB335D">
        <w:rPr>
          <w:rStyle w:val="Refdenotaalpie"/>
          <w:rFonts w:asciiTheme="minorHAnsi" w:hAnsiTheme="minorHAnsi"/>
          <w:color w:val="auto"/>
          <w:vertAlign w:val="baseline"/>
          <w:lang w:eastAsia="en-US"/>
        </w:rPr>
        <w:t>.</w:t>
      </w:r>
      <w:r w:rsidRPr="00AB335D">
        <w:rPr>
          <w:rStyle w:val="Refdenotaalpie"/>
          <w:rFonts w:asciiTheme="minorHAnsi" w:hAnsiTheme="minorHAnsi"/>
          <w:vertAlign w:val="baseline"/>
          <w:lang w:eastAsia="en-US"/>
        </w:rPr>
        <w:t xml:space="preserve"> Plan de </w:t>
      </w:r>
      <w:proofErr w:type="spellStart"/>
      <w:r w:rsidRPr="00AB335D">
        <w:rPr>
          <w:rStyle w:val="Refdenotaalpie"/>
          <w:rFonts w:asciiTheme="minorHAnsi" w:hAnsiTheme="minorHAnsi"/>
          <w:vertAlign w:val="baseline"/>
          <w:lang w:eastAsia="en-US"/>
        </w:rPr>
        <w:t>Salud</w:t>
      </w:r>
      <w:proofErr w:type="spellEnd"/>
      <w:r w:rsidRPr="00AB335D">
        <w:rPr>
          <w:rStyle w:val="Refdenotaalpie"/>
          <w:rFonts w:asciiTheme="minorHAnsi" w:hAnsiTheme="minorHAnsi"/>
          <w:vertAlign w:val="baseline"/>
          <w:lang w:eastAsia="en-US"/>
        </w:rPr>
        <w:t xml:space="preserve">. </w:t>
      </w:r>
      <w:r w:rsidRPr="00AB335D">
        <w:rPr>
          <w:rStyle w:val="Refdenotaalpie"/>
          <w:rFonts w:asciiTheme="minorHAnsi" w:hAnsiTheme="minorHAnsi"/>
          <w:color w:val="auto"/>
          <w:vertAlign w:val="baseline"/>
          <w:lang w:eastAsia="en-US"/>
        </w:rPr>
        <w:t xml:space="preserve"> </w:t>
      </w:r>
      <w:proofErr w:type="spellStart"/>
      <w:r w:rsidRPr="00AB335D">
        <w:rPr>
          <w:rStyle w:val="Refdenotaalpie"/>
          <w:rFonts w:asciiTheme="minorHAnsi" w:hAnsiTheme="minorHAnsi"/>
          <w:color w:val="auto"/>
          <w:vertAlign w:val="baseline"/>
          <w:lang w:eastAsia="en-US"/>
        </w:rPr>
        <w:t>Políticas</w:t>
      </w:r>
      <w:proofErr w:type="spellEnd"/>
      <w:r w:rsidRPr="00AB335D">
        <w:rPr>
          <w:rStyle w:val="Refdenotaalpie"/>
          <w:rFonts w:asciiTheme="minorHAnsi" w:hAnsiTheme="minorHAnsi"/>
          <w:color w:val="auto"/>
          <w:vertAlign w:val="baseline"/>
          <w:lang w:eastAsia="en-US"/>
        </w:rPr>
        <w:t xml:space="preserve"> de </w:t>
      </w:r>
      <w:proofErr w:type="spellStart"/>
      <w:r w:rsidRPr="00AB335D">
        <w:rPr>
          <w:rStyle w:val="Refdenotaalpie"/>
          <w:rFonts w:asciiTheme="minorHAnsi" w:hAnsiTheme="minorHAnsi"/>
          <w:color w:val="auto"/>
          <w:vertAlign w:val="baseline"/>
          <w:lang w:eastAsia="en-US"/>
        </w:rPr>
        <w:t>Salud</w:t>
      </w:r>
      <w:proofErr w:type="spellEnd"/>
      <w:r w:rsidRPr="00AB335D">
        <w:rPr>
          <w:rStyle w:val="Refdenotaalpie"/>
          <w:rFonts w:asciiTheme="minorHAnsi" w:hAnsiTheme="minorHAnsi"/>
          <w:color w:val="auto"/>
          <w:vertAlign w:val="baseline"/>
          <w:lang w:eastAsia="en-US"/>
        </w:rPr>
        <w:t xml:space="preserve"> para Euskadi 2013- 2020. Eusko Jaurlaritzaren Argitalpen Zerbitzu Nagusia </w:t>
      </w:r>
      <w:proofErr w:type="spellStart"/>
      <w:r w:rsidRPr="00AB335D">
        <w:rPr>
          <w:rStyle w:val="Refdenotaalpie"/>
          <w:rFonts w:asciiTheme="minorHAnsi" w:hAnsiTheme="minorHAnsi"/>
          <w:color w:val="auto"/>
          <w:vertAlign w:val="baseline"/>
          <w:lang w:eastAsia="en-US"/>
        </w:rPr>
        <w:t>Servicio</w:t>
      </w:r>
      <w:proofErr w:type="spellEnd"/>
      <w:r w:rsidRPr="00AB335D">
        <w:rPr>
          <w:rStyle w:val="Refdenotaalpie"/>
          <w:rFonts w:asciiTheme="minorHAnsi" w:hAnsiTheme="minorHAnsi"/>
          <w:color w:val="auto"/>
          <w:vertAlign w:val="baseline"/>
          <w:lang w:eastAsia="en-US"/>
        </w:rPr>
        <w:t xml:space="preserve"> </w:t>
      </w:r>
      <w:proofErr w:type="spellStart"/>
      <w:r w:rsidRPr="00AB335D">
        <w:rPr>
          <w:rStyle w:val="Refdenotaalpie"/>
          <w:rFonts w:asciiTheme="minorHAnsi" w:hAnsiTheme="minorHAnsi"/>
          <w:color w:val="auto"/>
          <w:vertAlign w:val="baseline"/>
          <w:lang w:eastAsia="en-US"/>
        </w:rPr>
        <w:lastRenderedPageBreak/>
        <w:t>Central</w:t>
      </w:r>
      <w:proofErr w:type="spellEnd"/>
      <w:r w:rsidRPr="00AB335D">
        <w:rPr>
          <w:rStyle w:val="Refdenotaalpie"/>
          <w:rFonts w:asciiTheme="minorHAnsi" w:hAnsiTheme="minorHAnsi"/>
          <w:color w:val="auto"/>
          <w:vertAlign w:val="baseline"/>
          <w:lang w:eastAsia="en-US"/>
        </w:rPr>
        <w:t xml:space="preserve"> de </w:t>
      </w:r>
      <w:proofErr w:type="spellStart"/>
      <w:r w:rsidRPr="00AB335D">
        <w:rPr>
          <w:rStyle w:val="Refdenotaalpie"/>
          <w:rFonts w:asciiTheme="minorHAnsi" w:hAnsiTheme="minorHAnsi"/>
          <w:color w:val="auto"/>
          <w:vertAlign w:val="baseline"/>
          <w:lang w:eastAsia="en-US"/>
        </w:rPr>
        <w:t>Publicaciones</w:t>
      </w:r>
      <w:proofErr w:type="spellEnd"/>
      <w:r w:rsidRPr="00AB335D">
        <w:rPr>
          <w:rStyle w:val="Refdenotaalpie"/>
          <w:rFonts w:asciiTheme="minorHAnsi" w:hAnsiTheme="minorHAnsi"/>
          <w:color w:val="auto"/>
          <w:vertAlign w:val="baseline"/>
          <w:lang w:eastAsia="en-US"/>
        </w:rPr>
        <w:t xml:space="preserve"> del </w:t>
      </w:r>
      <w:proofErr w:type="spellStart"/>
      <w:r w:rsidRPr="00AB335D">
        <w:rPr>
          <w:rStyle w:val="Refdenotaalpie"/>
          <w:rFonts w:asciiTheme="minorHAnsi" w:hAnsiTheme="minorHAnsi"/>
          <w:color w:val="auto"/>
          <w:vertAlign w:val="baseline"/>
          <w:lang w:eastAsia="en-US"/>
        </w:rPr>
        <w:t>Gobierno</w:t>
      </w:r>
      <w:proofErr w:type="spellEnd"/>
      <w:r w:rsidRPr="00AB335D">
        <w:rPr>
          <w:rStyle w:val="Refdenotaalpie"/>
          <w:rFonts w:asciiTheme="minorHAnsi" w:hAnsiTheme="minorHAnsi"/>
          <w:color w:val="auto"/>
          <w:vertAlign w:val="baseline"/>
          <w:lang w:eastAsia="en-US"/>
        </w:rPr>
        <w:t xml:space="preserve"> </w:t>
      </w:r>
      <w:proofErr w:type="spellStart"/>
      <w:r w:rsidRPr="00AB335D">
        <w:rPr>
          <w:rStyle w:val="Refdenotaalpie"/>
          <w:rFonts w:asciiTheme="minorHAnsi" w:hAnsiTheme="minorHAnsi"/>
          <w:color w:val="auto"/>
          <w:vertAlign w:val="baseline"/>
          <w:lang w:eastAsia="en-US"/>
        </w:rPr>
        <w:t>Vasco</w:t>
      </w:r>
      <w:proofErr w:type="spellEnd"/>
      <w:r w:rsidRPr="00AB335D">
        <w:rPr>
          <w:rStyle w:val="Refdenotaalpie"/>
          <w:rFonts w:asciiTheme="minorHAnsi" w:hAnsiTheme="minorHAnsi"/>
          <w:color w:val="auto"/>
          <w:vertAlign w:val="baseline"/>
          <w:lang w:eastAsia="en-US"/>
        </w:rPr>
        <w:t xml:space="preserve">  2014. Vitoria-Gasteiz. 134 </w:t>
      </w:r>
      <w:proofErr w:type="spellStart"/>
      <w:r w:rsidRPr="00AB335D">
        <w:rPr>
          <w:rStyle w:val="Refdenotaalpie"/>
          <w:rFonts w:asciiTheme="minorHAnsi" w:hAnsiTheme="minorHAnsi"/>
          <w:color w:val="auto"/>
          <w:vertAlign w:val="baseline"/>
          <w:lang w:eastAsia="en-US"/>
        </w:rPr>
        <w:t>pg</w:t>
      </w:r>
      <w:proofErr w:type="spellEnd"/>
      <w:r w:rsidRPr="00AB335D">
        <w:rPr>
          <w:rStyle w:val="Refdenotaalpie"/>
          <w:rFonts w:asciiTheme="minorHAnsi" w:hAnsiTheme="minorHAnsi"/>
          <w:color w:val="auto"/>
          <w:vertAlign w:val="baseline"/>
          <w:lang w:eastAsia="en-US"/>
        </w:rPr>
        <w:t xml:space="preserve">. </w:t>
      </w:r>
      <w:proofErr w:type="spellStart"/>
      <w:r w:rsidRPr="00AB335D">
        <w:rPr>
          <w:rStyle w:val="Refdenotaalpie"/>
          <w:rFonts w:asciiTheme="minorHAnsi" w:hAnsiTheme="minorHAnsi"/>
          <w:color w:val="auto"/>
          <w:vertAlign w:val="baseline"/>
          <w:lang w:eastAsia="en-US"/>
        </w:rPr>
        <w:t>Accesible</w:t>
      </w:r>
      <w:proofErr w:type="spellEnd"/>
      <w:r w:rsidRPr="00AB335D">
        <w:rPr>
          <w:rFonts w:asciiTheme="minorHAnsi" w:hAnsiTheme="minorHAnsi"/>
          <w:color w:val="auto"/>
          <w:lang w:eastAsia="en-US"/>
        </w:rPr>
        <w:t xml:space="preserve"> </w:t>
      </w:r>
      <w:proofErr w:type="spellStart"/>
      <w:r w:rsidRPr="00AB335D">
        <w:rPr>
          <w:rFonts w:asciiTheme="minorHAnsi" w:hAnsiTheme="minorHAnsi"/>
          <w:color w:val="auto"/>
          <w:lang w:eastAsia="en-US"/>
        </w:rPr>
        <w:t>en</w:t>
      </w:r>
      <w:proofErr w:type="spellEnd"/>
      <w:r w:rsidRPr="00AB335D">
        <w:rPr>
          <w:rStyle w:val="Refdenotaalpie"/>
          <w:rFonts w:asciiTheme="minorHAnsi" w:hAnsiTheme="minorHAnsi"/>
          <w:color w:val="auto"/>
          <w:vertAlign w:val="baseline"/>
          <w:lang w:eastAsia="en-US"/>
        </w:rPr>
        <w:t xml:space="preserve">: </w:t>
      </w:r>
      <w:hyperlink r:id="rId14" w:history="1">
        <w:r w:rsidRPr="00AB335D">
          <w:rPr>
            <w:rStyle w:val="Hipervnculo"/>
            <w:rFonts w:asciiTheme="minorHAnsi" w:hAnsiTheme="minorHAnsi"/>
            <w:lang w:eastAsia="en-US"/>
          </w:rPr>
          <w:t>http://www.bibliotekak.euskadi.eus/WebOpac</w:t>
        </w:r>
      </w:hyperlink>
    </w:p>
    <w:p w:rsidR="0044148A" w:rsidRPr="00AB335D" w:rsidRDefault="00DA75C3" w:rsidP="00975750">
      <w:pPr>
        <w:pStyle w:val="Prrafodelista"/>
        <w:numPr>
          <w:ilvl w:val="0"/>
          <w:numId w:val="1"/>
        </w:numPr>
        <w:autoSpaceDE w:val="0"/>
        <w:autoSpaceDN w:val="0"/>
        <w:adjustRightInd w:val="0"/>
        <w:spacing w:line="240" w:lineRule="auto"/>
        <w:jc w:val="both"/>
        <w:rPr>
          <w:rStyle w:val="Refdenotaalpie"/>
          <w:rFonts w:cstheme="minorHAnsi"/>
          <w:sz w:val="24"/>
          <w:szCs w:val="24"/>
          <w:vertAlign w:val="baseline"/>
        </w:rPr>
      </w:pPr>
      <w:proofErr w:type="spellStart"/>
      <w:r w:rsidRPr="00AB335D">
        <w:rPr>
          <w:rStyle w:val="Refdenotaalpie"/>
          <w:sz w:val="24"/>
          <w:szCs w:val="24"/>
          <w:vertAlign w:val="baseline"/>
          <w:lang w:val="fr-FR"/>
        </w:rPr>
        <w:t>Andermann</w:t>
      </w:r>
      <w:proofErr w:type="spellEnd"/>
      <w:r w:rsidRPr="00AB335D">
        <w:rPr>
          <w:rStyle w:val="Refdenotaalpie"/>
          <w:sz w:val="24"/>
          <w:szCs w:val="24"/>
          <w:vertAlign w:val="baseline"/>
          <w:lang w:val="fr-FR"/>
        </w:rPr>
        <w:t xml:space="preserve"> A, </w:t>
      </w:r>
      <w:proofErr w:type="spellStart"/>
      <w:r w:rsidRPr="00AB335D">
        <w:rPr>
          <w:rStyle w:val="Refdenotaalpie"/>
          <w:sz w:val="24"/>
          <w:szCs w:val="24"/>
          <w:vertAlign w:val="baseline"/>
          <w:lang w:val="fr-FR"/>
        </w:rPr>
        <w:t>Blancquaert</w:t>
      </w:r>
      <w:proofErr w:type="spellEnd"/>
      <w:r w:rsidRPr="00AB335D">
        <w:rPr>
          <w:rStyle w:val="Refdenotaalpie"/>
          <w:sz w:val="24"/>
          <w:szCs w:val="24"/>
          <w:vertAlign w:val="baseline"/>
          <w:lang w:val="fr-FR"/>
        </w:rPr>
        <w:t xml:space="preserve"> I, Beauchamp S, </w:t>
      </w:r>
      <w:r w:rsidRPr="00AB335D">
        <w:rPr>
          <w:sz w:val="24"/>
          <w:szCs w:val="24"/>
          <w:lang w:val="fr-FR"/>
        </w:rPr>
        <w:t>Déry V</w:t>
      </w:r>
      <w:r w:rsidRPr="00AB335D">
        <w:rPr>
          <w:rStyle w:val="Refdenotaalpie"/>
          <w:sz w:val="24"/>
          <w:szCs w:val="24"/>
          <w:vertAlign w:val="baseline"/>
          <w:lang w:val="fr-FR"/>
        </w:rPr>
        <w:t xml:space="preserve">. </w:t>
      </w:r>
      <w:proofErr w:type="spellStart"/>
      <w:r w:rsidRPr="00AB335D">
        <w:rPr>
          <w:rStyle w:val="Refdenotaalpie"/>
          <w:sz w:val="24"/>
          <w:szCs w:val="24"/>
          <w:vertAlign w:val="baseline"/>
          <w:lang w:val="fr-FR"/>
        </w:rPr>
        <w:t>Revisiting</w:t>
      </w:r>
      <w:proofErr w:type="spellEnd"/>
      <w:r w:rsidRPr="00AB335D">
        <w:rPr>
          <w:rStyle w:val="Refdenotaalpie"/>
          <w:sz w:val="24"/>
          <w:szCs w:val="24"/>
          <w:vertAlign w:val="baseline"/>
          <w:lang w:val="fr-FR"/>
        </w:rPr>
        <w:t xml:space="preserve"> Wilson and </w:t>
      </w:r>
      <w:proofErr w:type="spellStart"/>
      <w:r w:rsidRPr="00AB335D">
        <w:rPr>
          <w:rStyle w:val="Refdenotaalpie"/>
          <w:sz w:val="24"/>
          <w:szCs w:val="24"/>
          <w:vertAlign w:val="baseline"/>
          <w:lang w:val="fr-FR"/>
        </w:rPr>
        <w:t>Jungner</w:t>
      </w:r>
      <w:proofErr w:type="spellEnd"/>
      <w:r w:rsidRPr="00AB335D">
        <w:rPr>
          <w:rStyle w:val="Refdenotaalpie"/>
          <w:sz w:val="24"/>
          <w:szCs w:val="24"/>
          <w:vertAlign w:val="baseline"/>
          <w:lang w:val="fr-FR"/>
        </w:rPr>
        <w:t xml:space="preserve"> in the </w:t>
      </w:r>
      <w:proofErr w:type="spellStart"/>
      <w:r w:rsidRPr="00AB335D">
        <w:rPr>
          <w:rStyle w:val="Refdenotaalpie"/>
          <w:sz w:val="24"/>
          <w:szCs w:val="24"/>
          <w:vertAlign w:val="baseline"/>
          <w:lang w:val="fr-FR"/>
        </w:rPr>
        <w:t>genomic</w:t>
      </w:r>
      <w:proofErr w:type="spellEnd"/>
      <w:r w:rsidRPr="00AB335D">
        <w:rPr>
          <w:rStyle w:val="Refdenotaalpie"/>
          <w:sz w:val="24"/>
          <w:szCs w:val="24"/>
          <w:vertAlign w:val="baseline"/>
          <w:lang w:val="fr-FR"/>
        </w:rPr>
        <w:t xml:space="preserve"> </w:t>
      </w:r>
      <w:proofErr w:type="spellStart"/>
      <w:r w:rsidRPr="00AB335D">
        <w:rPr>
          <w:rStyle w:val="Refdenotaalpie"/>
          <w:sz w:val="24"/>
          <w:szCs w:val="24"/>
          <w:vertAlign w:val="baseline"/>
          <w:lang w:val="fr-FR"/>
        </w:rPr>
        <w:t>age</w:t>
      </w:r>
      <w:proofErr w:type="spellEnd"/>
      <w:r w:rsidRPr="00AB335D">
        <w:rPr>
          <w:rStyle w:val="Refdenotaalpie"/>
          <w:sz w:val="24"/>
          <w:szCs w:val="24"/>
          <w:vertAlign w:val="baseline"/>
          <w:lang w:val="fr-FR"/>
        </w:rPr>
        <w:t xml:space="preserve">: a </w:t>
      </w:r>
      <w:proofErr w:type="spellStart"/>
      <w:r w:rsidRPr="00AB335D">
        <w:rPr>
          <w:rStyle w:val="Refdenotaalpie"/>
          <w:sz w:val="24"/>
          <w:szCs w:val="24"/>
          <w:vertAlign w:val="baseline"/>
          <w:lang w:val="fr-FR"/>
        </w:rPr>
        <w:t>review</w:t>
      </w:r>
      <w:proofErr w:type="spellEnd"/>
      <w:r w:rsidRPr="00AB335D">
        <w:rPr>
          <w:rStyle w:val="Refdenotaalpie"/>
          <w:sz w:val="24"/>
          <w:szCs w:val="24"/>
          <w:vertAlign w:val="baseline"/>
          <w:lang w:val="fr-FR"/>
        </w:rPr>
        <w:t xml:space="preserve"> of screening </w:t>
      </w:r>
      <w:proofErr w:type="spellStart"/>
      <w:r w:rsidRPr="00AB335D">
        <w:rPr>
          <w:rStyle w:val="Refdenotaalpie"/>
          <w:sz w:val="24"/>
          <w:szCs w:val="24"/>
          <w:vertAlign w:val="baseline"/>
          <w:lang w:val="fr-FR"/>
        </w:rPr>
        <w:t>criteria</w:t>
      </w:r>
      <w:proofErr w:type="spellEnd"/>
      <w:r w:rsidRPr="00AB335D">
        <w:rPr>
          <w:rStyle w:val="Refdenotaalpie"/>
          <w:sz w:val="24"/>
          <w:szCs w:val="24"/>
          <w:vertAlign w:val="baseline"/>
          <w:lang w:val="fr-FR"/>
        </w:rPr>
        <w:t xml:space="preserve"> over the </w:t>
      </w:r>
      <w:proofErr w:type="spellStart"/>
      <w:r w:rsidRPr="00AB335D">
        <w:rPr>
          <w:rStyle w:val="Refdenotaalpie"/>
          <w:sz w:val="24"/>
          <w:szCs w:val="24"/>
          <w:vertAlign w:val="baseline"/>
          <w:lang w:val="fr-FR"/>
        </w:rPr>
        <w:t>past</w:t>
      </w:r>
      <w:proofErr w:type="spellEnd"/>
      <w:r w:rsidRPr="00AB335D">
        <w:rPr>
          <w:rStyle w:val="Refdenotaalpie"/>
          <w:sz w:val="24"/>
          <w:szCs w:val="24"/>
          <w:vertAlign w:val="baseline"/>
          <w:lang w:val="fr-FR"/>
        </w:rPr>
        <w:t xml:space="preserve"> 40 </w:t>
      </w:r>
      <w:proofErr w:type="spellStart"/>
      <w:r w:rsidRPr="00AB335D">
        <w:rPr>
          <w:rStyle w:val="Refdenotaalpie"/>
          <w:sz w:val="24"/>
          <w:szCs w:val="24"/>
          <w:vertAlign w:val="baseline"/>
          <w:lang w:val="fr-FR"/>
        </w:rPr>
        <w:t>years</w:t>
      </w:r>
      <w:proofErr w:type="spellEnd"/>
      <w:r w:rsidRPr="00AB335D">
        <w:rPr>
          <w:rStyle w:val="Refdenotaalpie"/>
          <w:sz w:val="24"/>
          <w:szCs w:val="24"/>
          <w:vertAlign w:val="baseline"/>
          <w:lang w:val="fr-FR"/>
        </w:rPr>
        <w:t xml:space="preserve">. Bull World Heal. </w:t>
      </w:r>
      <w:proofErr w:type="spellStart"/>
      <w:r w:rsidRPr="00AB335D">
        <w:rPr>
          <w:rStyle w:val="Refdenotaalpie"/>
          <w:sz w:val="24"/>
          <w:szCs w:val="24"/>
          <w:vertAlign w:val="baseline"/>
          <w:lang w:val="fr-FR"/>
        </w:rPr>
        <w:t>Organ</w:t>
      </w:r>
      <w:proofErr w:type="spellEnd"/>
      <w:r w:rsidRPr="00AB335D">
        <w:rPr>
          <w:rStyle w:val="Refdenotaalpie"/>
          <w:sz w:val="24"/>
          <w:szCs w:val="24"/>
          <w:vertAlign w:val="baseline"/>
          <w:lang w:val="fr-FR"/>
        </w:rPr>
        <w:t xml:space="preserve"> 2008;</w:t>
      </w:r>
      <w:r w:rsidRPr="00AB335D">
        <w:rPr>
          <w:sz w:val="24"/>
          <w:szCs w:val="24"/>
          <w:lang w:val="fr-FR"/>
        </w:rPr>
        <w:t xml:space="preserve"> </w:t>
      </w:r>
      <w:r w:rsidRPr="00AB335D">
        <w:rPr>
          <w:rStyle w:val="Refdenotaalpie"/>
          <w:sz w:val="24"/>
          <w:szCs w:val="24"/>
          <w:vertAlign w:val="baseline"/>
          <w:lang w:val="fr-FR"/>
        </w:rPr>
        <w:t>86:317–319.</w:t>
      </w:r>
    </w:p>
    <w:p w:rsidR="00DA75C3" w:rsidRPr="00AB335D" w:rsidRDefault="00975750" w:rsidP="0044148A">
      <w:pPr>
        <w:pStyle w:val="Prrafodelista"/>
        <w:numPr>
          <w:ilvl w:val="0"/>
          <w:numId w:val="7"/>
        </w:numPr>
        <w:autoSpaceDE w:val="0"/>
        <w:autoSpaceDN w:val="0"/>
        <w:adjustRightInd w:val="0"/>
        <w:spacing w:line="240" w:lineRule="auto"/>
        <w:jc w:val="both"/>
        <w:rPr>
          <w:rStyle w:val="Refdenotaalpie"/>
          <w:rFonts w:cstheme="minorHAnsi"/>
          <w:sz w:val="24"/>
          <w:szCs w:val="24"/>
          <w:vertAlign w:val="baseline"/>
        </w:rPr>
      </w:pPr>
      <w:r w:rsidRPr="00AB335D">
        <w:rPr>
          <w:rStyle w:val="Refdenotaalpie"/>
          <w:sz w:val="24"/>
          <w:szCs w:val="24"/>
          <w:vertAlign w:val="baseline"/>
          <w:lang w:val="fr-FR"/>
        </w:rPr>
        <w:t xml:space="preserve">Grupo de </w:t>
      </w:r>
      <w:proofErr w:type="spellStart"/>
      <w:r w:rsidRPr="00AB335D">
        <w:rPr>
          <w:rStyle w:val="Refdenotaalpie"/>
          <w:sz w:val="24"/>
          <w:szCs w:val="24"/>
          <w:vertAlign w:val="baseline"/>
          <w:lang w:val="fr-FR"/>
        </w:rPr>
        <w:t>trabajo</w:t>
      </w:r>
      <w:proofErr w:type="spellEnd"/>
      <w:r w:rsidRPr="00AB335D">
        <w:rPr>
          <w:rStyle w:val="Refdenotaalpie"/>
          <w:sz w:val="24"/>
          <w:szCs w:val="24"/>
          <w:vertAlign w:val="baseline"/>
          <w:lang w:val="fr-FR"/>
        </w:rPr>
        <w:t xml:space="preserve"> de la </w:t>
      </w:r>
      <w:proofErr w:type="spellStart"/>
      <w:r w:rsidRPr="00AB335D">
        <w:rPr>
          <w:rStyle w:val="Refdenotaalpie"/>
          <w:sz w:val="24"/>
          <w:szCs w:val="24"/>
          <w:vertAlign w:val="baseline"/>
          <w:lang w:val="fr-FR"/>
        </w:rPr>
        <w:t>Ponencia</w:t>
      </w:r>
      <w:proofErr w:type="spellEnd"/>
      <w:r w:rsidRPr="00AB335D">
        <w:rPr>
          <w:rStyle w:val="Refdenotaalpie"/>
          <w:sz w:val="24"/>
          <w:szCs w:val="24"/>
          <w:vertAlign w:val="baseline"/>
          <w:lang w:val="fr-FR"/>
        </w:rPr>
        <w:t xml:space="preserve"> de </w:t>
      </w:r>
      <w:proofErr w:type="spellStart"/>
      <w:r w:rsidRPr="00AB335D">
        <w:rPr>
          <w:rStyle w:val="Refdenotaalpie"/>
          <w:sz w:val="24"/>
          <w:szCs w:val="24"/>
          <w:vertAlign w:val="baseline"/>
          <w:lang w:val="fr-FR"/>
        </w:rPr>
        <w:t>Cribado</w:t>
      </w:r>
      <w:proofErr w:type="spellEnd"/>
      <w:r w:rsidRPr="00AB335D">
        <w:rPr>
          <w:rStyle w:val="Refdenotaalpie"/>
          <w:sz w:val="24"/>
          <w:szCs w:val="24"/>
          <w:vertAlign w:val="baseline"/>
          <w:lang w:val="fr-FR"/>
        </w:rPr>
        <w:t xml:space="preserve"> de la </w:t>
      </w:r>
      <w:proofErr w:type="spellStart"/>
      <w:r w:rsidRPr="00AB335D">
        <w:rPr>
          <w:rStyle w:val="Refdenotaalpie"/>
          <w:sz w:val="24"/>
          <w:szCs w:val="24"/>
          <w:vertAlign w:val="baseline"/>
          <w:lang w:val="fr-FR"/>
        </w:rPr>
        <w:t>Comisión</w:t>
      </w:r>
      <w:proofErr w:type="spellEnd"/>
      <w:r w:rsidRPr="00AB335D">
        <w:rPr>
          <w:rStyle w:val="Refdenotaalpie"/>
          <w:sz w:val="24"/>
          <w:szCs w:val="24"/>
          <w:vertAlign w:val="baseline"/>
          <w:lang w:val="fr-FR"/>
        </w:rPr>
        <w:t xml:space="preserve"> de </w:t>
      </w:r>
      <w:proofErr w:type="spellStart"/>
      <w:r w:rsidRPr="00AB335D">
        <w:rPr>
          <w:rStyle w:val="Refdenotaalpie"/>
          <w:sz w:val="24"/>
          <w:szCs w:val="24"/>
          <w:vertAlign w:val="baseline"/>
          <w:lang w:val="fr-FR"/>
        </w:rPr>
        <w:t>Salud</w:t>
      </w:r>
      <w:proofErr w:type="spellEnd"/>
      <w:r w:rsidRPr="00AB335D">
        <w:rPr>
          <w:rStyle w:val="Refdenotaalpie"/>
          <w:sz w:val="24"/>
          <w:szCs w:val="24"/>
          <w:vertAlign w:val="baseline"/>
          <w:lang w:val="fr-FR"/>
        </w:rPr>
        <w:t xml:space="preserve"> </w:t>
      </w:r>
      <w:proofErr w:type="spellStart"/>
      <w:r w:rsidRPr="00AB335D">
        <w:rPr>
          <w:rStyle w:val="Refdenotaalpie"/>
          <w:sz w:val="24"/>
          <w:szCs w:val="24"/>
          <w:vertAlign w:val="baseline"/>
          <w:lang w:val="fr-FR"/>
        </w:rPr>
        <w:t>Pública</w:t>
      </w:r>
      <w:proofErr w:type="spellEnd"/>
      <w:r w:rsidRPr="00AB335D">
        <w:rPr>
          <w:rStyle w:val="Refdenotaalpie"/>
          <w:sz w:val="24"/>
          <w:szCs w:val="24"/>
          <w:vertAlign w:val="baseline"/>
          <w:lang w:val="fr-FR"/>
        </w:rPr>
        <w:t xml:space="preserve"> </w:t>
      </w:r>
      <w:proofErr w:type="spellStart"/>
      <w:r w:rsidRPr="00AB335D">
        <w:rPr>
          <w:rStyle w:val="Refdenotaalpie"/>
          <w:sz w:val="24"/>
          <w:szCs w:val="24"/>
          <w:vertAlign w:val="baseline"/>
          <w:lang w:val="en-US"/>
        </w:rPr>
        <w:t>Documento</w:t>
      </w:r>
      <w:proofErr w:type="spellEnd"/>
      <w:r w:rsidRPr="00AB335D">
        <w:rPr>
          <w:rStyle w:val="Refdenotaalpie"/>
          <w:sz w:val="24"/>
          <w:szCs w:val="24"/>
          <w:vertAlign w:val="baseline"/>
          <w:lang w:val="en-US"/>
        </w:rPr>
        <w:t xml:space="preserve"> </w:t>
      </w:r>
      <w:proofErr w:type="spellStart"/>
      <w:r w:rsidRPr="00AB335D">
        <w:rPr>
          <w:rStyle w:val="Refdenotaalpie"/>
          <w:sz w:val="24"/>
          <w:szCs w:val="24"/>
          <w:vertAlign w:val="baseline"/>
          <w:lang w:val="en-US"/>
        </w:rPr>
        <w:t>marco</w:t>
      </w:r>
      <w:proofErr w:type="spellEnd"/>
      <w:r w:rsidRPr="00AB335D">
        <w:rPr>
          <w:rStyle w:val="Refdenotaalpie"/>
          <w:sz w:val="24"/>
          <w:szCs w:val="24"/>
          <w:vertAlign w:val="baseline"/>
          <w:lang w:val="en-US"/>
        </w:rPr>
        <w:t xml:space="preserve"> </w:t>
      </w:r>
      <w:proofErr w:type="spellStart"/>
      <w:r w:rsidRPr="00AB335D">
        <w:rPr>
          <w:rStyle w:val="Refdenotaalpie"/>
          <w:sz w:val="24"/>
          <w:szCs w:val="24"/>
          <w:vertAlign w:val="baseline"/>
          <w:lang w:val="en-US"/>
        </w:rPr>
        <w:t>sobre</w:t>
      </w:r>
      <w:proofErr w:type="spellEnd"/>
      <w:r w:rsidRPr="00AB335D">
        <w:rPr>
          <w:rStyle w:val="Refdenotaalpie"/>
          <w:sz w:val="24"/>
          <w:szCs w:val="24"/>
          <w:vertAlign w:val="baseline"/>
          <w:lang w:val="en-US"/>
        </w:rPr>
        <w:t xml:space="preserve"> </w:t>
      </w:r>
      <w:proofErr w:type="spellStart"/>
      <w:r w:rsidRPr="00AB335D">
        <w:rPr>
          <w:rStyle w:val="Refdenotaalpie"/>
          <w:sz w:val="24"/>
          <w:szCs w:val="24"/>
          <w:vertAlign w:val="baseline"/>
          <w:lang w:val="en-US"/>
        </w:rPr>
        <w:t>cribado</w:t>
      </w:r>
      <w:proofErr w:type="spellEnd"/>
      <w:r w:rsidRPr="00AB335D">
        <w:rPr>
          <w:rStyle w:val="Refdenotaalpie"/>
          <w:sz w:val="24"/>
          <w:szCs w:val="24"/>
          <w:vertAlign w:val="baseline"/>
          <w:lang w:val="en-US"/>
        </w:rPr>
        <w:t xml:space="preserve"> </w:t>
      </w:r>
      <w:proofErr w:type="spellStart"/>
      <w:r w:rsidRPr="00AB335D">
        <w:rPr>
          <w:rStyle w:val="Refdenotaalpie"/>
          <w:sz w:val="24"/>
          <w:szCs w:val="24"/>
          <w:vertAlign w:val="baseline"/>
          <w:lang w:val="en-US"/>
        </w:rPr>
        <w:t>poblacional</w:t>
      </w:r>
      <w:proofErr w:type="spellEnd"/>
      <w:r w:rsidRPr="00AB335D">
        <w:rPr>
          <w:rStyle w:val="Refdenotaalpie"/>
          <w:sz w:val="24"/>
          <w:szCs w:val="24"/>
          <w:vertAlign w:val="baseline"/>
          <w:lang w:val="en-US"/>
        </w:rPr>
        <w:t xml:space="preserve">. 2013. </w:t>
      </w:r>
      <w:proofErr w:type="spellStart"/>
      <w:r w:rsidRPr="00AB335D">
        <w:rPr>
          <w:rStyle w:val="Refdenotaalpie"/>
          <w:sz w:val="24"/>
          <w:szCs w:val="24"/>
          <w:vertAlign w:val="baseline"/>
          <w:lang w:val="en-US"/>
        </w:rPr>
        <w:t>Ministerio</w:t>
      </w:r>
      <w:proofErr w:type="spellEnd"/>
      <w:r w:rsidRPr="00AB335D">
        <w:rPr>
          <w:rStyle w:val="Refdenotaalpie"/>
          <w:sz w:val="24"/>
          <w:szCs w:val="24"/>
          <w:vertAlign w:val="baseline"/>
          <w:lang w:val="en-US"/>
        </w:rPr>
        <w:t xml:space="preserve"> de </w:t>
      </w:r>
      <w:proofErr w:type="spellStart"/>
      <w:r w:rsidRPr="00AB335D">
        <w:rPr>
          <w:rStyle w:val="Refdenotaalpie"/>
          <w:sz w:val="24"/>
          <w:szCs w:val="24"/>
          <w:vertAlign w:val="baseline"/>
          <w:lang w:val="en-US"/>
        </w:rPr>
        <w:t>Sanidad</w:t>
      </w:r>
      <w:proofErr w:type="spellEnd"/>
      <w:r w:rsidRPr="00AB335D">
        <w:rPr>
          <w:rStyle w:val="Refdenotaalpie"/>
          <w:sz w:val="24"/>
          <w:szCs w:val="24"/>
          <w:vertAlign w:val="baseline"/>
          <w:lang w:val="en-US"/>
        </w:rPr>
        <w:t>.</w:t>
      </w:r>
    </w:p>
    <w:p w:rsidR="00647103" w:rsidRPr="00AB335D" w:rsidRDefault="00647103" w:rsidP="0044148A">
      <w:pPr>
        <w:pStyle w:val="Prrafodelista"/>
        <w:numPr>
          <w:ilvl w:val="0"/>
          <w:numId w:val="7"/>
        </w:numPr>
        <w:spacing w:before="100" w:beforeAutospacing="1" w:after="100" w:afterAutospacing="1"/>
        <w:jc w:val="both"/>
        <w:rPr>
          <w:rFonts w:cstheme="minorHAnsi"/>
          <w:sz w:val="24"/>
          <w:szCs w:val="24"/>
        </w:rPr>
      </w:pPr>
      <w:proofErr w:type="spellStart"/>
      <w:r w:rsidRPr="00AB335D">
        <w:rPr>
          <w:rStyle w:val="Refdenotaalpie"/>
          <w:sz w:val="24"/>
          <w:szCs w:val="24"/>
          <w:vertAlign w:val="baseline"/>
          <w:lang w:val="en-US"/>
        </w:rPr>
        <w:t>Segnan</w:t>
      </w:r>
      <w:proofErr w:type="spellEnd"/>
      <w:r w:rsidRPr="00AB335D">
        <w:rPr>
          <w:rStyle w:val="Refdenotaalpie"/>
          <w:sz w:val="24"/>
          <w:szCs w:val="24"/>
          <w:vertAlign w:val="baseline"/>
          <w:lang w:val="en-US"/>
        </w:rPr>
        <w:t xml:space="preserve"> N, </w:t>
      </w:r>
      <w:proofErr w:type="spellStart"/>
      <w:r w:rsidRPr="00AB335D">
        <w:rPr>
          <w:rStyle w:val="Refdenotaalpie"/>
          <w:sz w:val="24"/>
          <w:szCs w:val="24"/>
          <w:vertAlign w:val="baseline"/>
          <w:lang w:val="en-US"/>
        </w:rPr>
        <w:t>Patnick</w:t>
      </w:r>
      <w:proofErr w:type="spellEnd"/>
      <w:r w:rsidRPr="00AB335D">
        <w:rPr>
          <w:rStyle w:val="Refdenotaalpie"/>
          <w:sz w:val="24"/>
          <w:szCs w:val="24"/>
          <w:vertAlign w:val="baseline"/>
          <w:lang w:val="en-US"/>
        </w:rPr>
        <w:t xml:space="preserve"> J, von </w:t>
      </w:r>
      <w:proofErr w:type="spellStart"/>
      <w:r w:rsidRPr="00AB335D">
        <w:rPr>
          <w:rStyle w:val="Refdenotaalpie"/>
          <w:sz w:val="24"/>
          <w:szCs w:val="24"/>
          <w:vertAlign w:val="baseline"/>
          <w:lang w:val="en-US"/>
        </w:rPr>
        <w:t>Karsa</w:t>
      </w:r>
      <w:proofErr w:type="spellEnd"/>
      <w:r w:rsidRPr="00AB335D">
        <w:rPr>
          <w:rStyle w:val="Refdenotaalpie"/>
          <w:sz w:val="24"/>
          <w:szCs w:val="24"/>
          <w:vertAlign w:val="baseline"/>
          <w:lang w:val="en-US"/>
        </w:rPr>
        <w:t xml:space="preserve"> L (</w:t>
      </w:r>
      <w:proofErr w:type="spellStart"/>
      <w:r w:rsidRPr="00AB335D">
        <w:rPr>
          <w:rStyle w:val="Refdenotaalpie"/>
          <w:sz w:val="24"/>
          <w:szCs w:val="24"/>
          <w:vertAlign w:val="baseline"/>
          <w:lang w:val="en-US"/>
        </w:rPr>
        <w:t>eds</w:t>
      </w:r>
      <w:proofErr w:type="spellEnd"/>
      <w:r w:rsidRPr="00AB335D">
        <w:rPr>
          <w:rStyle w:val="Refdenotaalpie"/>
          <w:sz w:val="24"/>
          <w:szCs w:val="24"/>
          <w:vertAlign w:val="baseline"/>
          <w:lang w:val="en-US"/>
        </w:rPr>
        <w:t xml:space="preserve">). European Guidelines for Quality Assurance in Colorectal Cancer Screening and Diagnosis. 2010 First Edition. Luxembourg: European Commission, Publications Office of the European Union. 2011. 387 </w:t>
      </w:r>
      <w:proofErr w:type="spellStart"/>
      <w:r w:rsidRPr="00AB335D">
        <w:rPr>
          <w:rStyle w:val="Refdenotaalpie"/>
          <w:sz w:val="24"/>
          <w:szCs w:val="24"/>
          <w:vertAlign w:val="baseline"/>
          <w:lang w:val="en-US"/>
        </w:rPr>
        <w:t>pg</w:t>
      </w:r>
      <w:proofErr w:type="spellEnd"/>
    </w:p>
    <w:p w:rsidR="00292EF3" w:rsidRPr="00AB335D" w:rsidRDefault="00292EF3" w:rsidP="0044148A">
      <w:pPr>
        <w:pStyle w:val="Prrafodelista"/>
        <w:numPr>
          <w:ilvl w:val="0"/>
          <w:numId w:val="7"/>
        </w:numPr>
        <w:spacing w:before="100" w:beforeAutospacing="1" w:after="100" w:afterAutospacing="1"/>
        <w:jc w:val="both"/>
        <w:rPr>
          <w:rStyle w:val="Refdenotaalpie"/>
          <w:rFonts w:cstheme="minorHAnsi"/>
          <w:sz w:val="24"/>
          <w:szCs w:val="24"/>
          <w:vertAlign w:val="baseline"/>
        </w:rPr>
      </w:pPr>
      <w:r w:rsidRPr="00AB335D">
        <w:rPr>
          <w:rStyle w:val="Refdenotaalpie"/>
          <w:sz w:val="24"/>
          <w:szCs w:val="24"/>
          <w:vertAlign w:val="baseline"/>
          <w:lang w:val="en-US"/>
        </w:rPr>
        <w:t xml:space="preserve">Van Rossum L, Van Rijn AF, </w:t>
      </w:r>
      <w:proofErr w:type="spellStart"/>
      <w:r w:rsidRPr="00AB335D">
        <w:rPr>
          <w:rStyle w:val="Refdenotaalpie"/>
          <w:sz w:val="24"/>
          <w:szCs w:val="24"/>
          <w:vertAlign w:val="baseline"/>
          <w:lang w:val="en-US"/>
        </w:rPr>
        <w:t>Laheij</w:t>
      </w:r>
      <w:proofErr w:type="spellEnd"/>
      <w:r w:rsidRPr="00AB335D">
        <w:rPr>
          <w:rStyle w:val="Refdenotaalpie"/>
          <w:sz w:val="24"/>
          <w:szCs w:val="24"/>
          <w:vertAlign w:val="baseline"/>
          <w:lang w:val="en-US"/>
        </w:rPr>
        <w:t xml:space="preserve"> R, Verbeek AL, Van </w:t>
      </w:r>
      <w:proofErr w:type="spellStart"/>
      <w:r w:rsidRPr="00AB335D">
        <w:rPr>
          <w:rStyle w:val="Refdenotaalpie"/>
          <w:sz w:val="24"/>
          <w:szCs w:val="24"/>
          <w:vertAlign w:val="baseline"/>
          <w:lang w:val="en-US"/>
        </w:rPr>
        <w:t>Oijen</w:t>
      </w:r>
      <w:proofErr w:type="spellEnd"/>
      <w:r w:rsidRPr="00AB335D">
        <w:rPr>
          <w:rStyle w:val="Refdenotaalpie"/>
          <w:sz w:val="24"/>
          <w:szCs w:val="24"/>
          <w:vertAlign w:val="baseline"/>
          <w:lang w:val="en-US"/>
        </w:rPr>
        <w:t xml:space="preserve"> MG, </w:t>
      </w:r>
      <w:proofErr w:type="spellStart"/>
      <w:r w:rsidRPr="00AB335D">
        <w:rPr>
          <w:rStyle w:val="Refdenotaalpie"/>
          <w:sz w:val="24"/>
          <w:szCs w:val="24"/>
          <w:vertAlign w:val="baseline"/>
          <w:lang w:val="en-US"/>
        </w:rPr>
        <w:t>Fockens</w:t>
      </w:r>
      <w:proofErr w:type="spellEnd"/>
      <w:r w:rsidRPr="00AB335D">
        <w:rPr>
          <w:rStyle w:val="Refdenotaalpie"/>
          <w:sz w:val="24"/>
          <w:szCs w:val="24"/>
          <w:vertAlign w:val="baseline"/>
          <w:lang w:val="en-US"/>
        </w:rPr>
        <w:t xml:space="preserve"> P. Randomized study comparing the test performance of a </w:t>
      </w:r>
      <w:proofErr w:type="spellStart"/>
      <w:r w:rsidRPr="00AB335D">
        <w:rPr>
          <w:rStyle w:val="Refdenotaalpie"/>
          <w:sz w:val="24"/>
          <w:szCs w:val="24"/>
          <w:vertAlign w:val="baseline"/>
          <w:lang w:val="en-US"/>
        </w:rPr>
        <w:t>guiaiac</w:t>
      </w:r>
      <w:proofErr w:type="spellEnd"/>
      <w:r w:rsidRPr="00AB335D">
        <w:rPr>
          <w:rStyle w:val="Refdenotaalpie"/>
          <w:sz w:val="24"/>
          <w:szCs w:val="24"/>
          <w:vertAlign w:val="baseline"/>
          <w:lang w:val="en-US"/>
        </w:rPr>
        <w:t>-based fecal occult blood test with an immunochemical fecal occult blood test for colorectal cancer screening in a screening population. Gastroenterology 2008;135: 82-90.</w:t>
      </w:r>
    </w:p>
    <w:p w:rsidR="00292EF3" w:rsidRPr="00AB335D" w:rsidRDefault="00292EF3" w:rsidP="0044148A">
      <w:pPr>
        <w:pStyle w:val="Prrafodelista"/>
        <w:numPr>
          <w:ilvl w:val="0"/>
          <w:numId w:val="7"/>
        </w:numPr>
        <w:spacing w:before="100" w:beforeAutospacing="1" w:after="100" w:afterAutospacing="1"/>
        <w:jc w:val="both"/>
        <w:rPr>
          <w:rFonts w:cstheme="minorHAnsi"/>
          <w:sz w:val="24"/>
          <w:szCs w:val="24"/>
        </w:rPr>
      </w:pPr>
      <w:r w:rsidRPr="00AB335D">
        <w:rPr>
          <w:rStyle w:val="Refdenotaalpie"/>
          <w:sz w:val="24"/>
          <w:szCs w:val="24"/>
          <w:vertAlign w:val="baseline"/>
          <w:lang w:val="en-US"/>
        </w:rPr>
        <w:t xml:space="preserve">Fraser CG, Allison J, Young GR, Halloran SP, Seaman H.A standard for </w:t>
      </w:r>
      <w:proofErr w:type="spellStart"/>
      <w:r w:rsidRPr="00AB335D">
        <w:rPr>
          <w:rStyle w:val="Refdenotaalpie"/>
          <w:sz w:val="24"/>
          <w:szCs w:val="24"/>
          <w:vertAlign w:val="baseline"/>
          <w:lang w:val="en-US"/>
        </w:rPr>
        <w:t>Faecal</w:t>
      </w:r>
      <w:proofErr w:type="spellEnd"/>
      <w:r w:rsidRPr="00AB335D">
        <w:rPr>
          <w:rStyle w:val="Refdenotaalpie"/>
          <w:sz w:val="24"/>
          <w:szCs w:val="24"/>
          <w:vertAlign w:val="baseline"/>
          <w:lang w:val="en-US"/>
        </w:rPr>
        <w:t xml:space="preserve"> Immunochemical </w:t>
      </w:r>
      <w:proofErr w:type="spellStart"/>
      <w:r w:rsidRPr="00AB335D">
        <w:rPr>
          <w:rStyle w:val="Refdenotaalpie"/>
          <w:sz w:val="24"/>
          <w:szCs w:val="24"/>
          <w:vertAlign w:val="baseline"/>
          <w:lang w:val="en-US"/>
        </w:rPr>
        <w:t>TesTs</w:t>
      </w:r>
      <w:proofErr w:type="spellEnd"/>
      <w:r w:rsidRPr="00AB335D">
        <w:rPr>
          <w:rStyle w:val="Refdenotaalpie"/>
          <w:sz w:val="24"/>
          <w:szCs w:val="24"/>
          <w:vertAlign w:val="baseline"/>
          <w:lang w:val="en-US"/>
        </w:rPr>
        <w:t xml:space="preserve"> for </w:t>
      </w:r>
      <w:proofErr w:type="spellStart"/>
      <w:r w:rsidRPr="00AB335D">
        <w:rPr>
          <w:rStyle w:val="Refdenotaalpie"/>
          <w:sz w:val="24"/>
          <w:szCs w:val="24"/>
          <w:vertAlign w:val="baseline"/>
          <w:lang w:val="en-US"/>
        </w:rPr>
        <w:t>Haemoglobin</w:t>
      </w:r>
      <w:proofErr w:type="spellEnd"/>
      <w:r w:rsidRPr="00AB335D">
        <w:rPr>
          <w:rStyle w:val="Refdenotaalpie"/>
          <w:sz w:val="24"/>
          <w:szCs w:val="24"/>
          <w:vertAlign w:val="baseline"/>
          <w:lang w:val="en-US"/>
        </w:rPr>
        <w:t xml:space="preserve"> Evaluation Reporting (FITTER). Ann </w:t>
      </w:r>
      <w:proofErr w:type="spellStart"/>
      <w:r w:rsidRPr="00AB335D">
        <w:rPr>
          <w:rStyle w:val="Refdenotaalpie"/>
          <w:sz w:val="24"/>
          <w:szCs w:val="24"/>
          <w:vertAlign w:val="baseline"/>
          <w:lang w:val="en-US"/>
        </w:rPr>
        <w:t>Clin</w:t>
      </w:r>
      <w:proofErr w:type="spellEnd"/>
      <w:r w:rsidRPr="00AB335D">
        <w:rPr>
          <w:rStyle w:val="Refdenotaalpie"/>
          <w:sz w:val="24"/>
          <w:szCs w:val="24"/>
          <w:vertAlign w:val="baseline"/>
          <w:lang w:val="en-US"/>
        </w:rPr>
        <w:t xml:space="preserve"> </w:t>
      </w:r>
      <w:proofErr w:type="spellStart"/>
      <w:r w:rsidRPr="00AB335D">
        <w:rPr>
          <w:rStyle w:val="Refdenotaalpie"/>
          <w:sz w:val="24"/>
          <w:szCs w:val="24"/>
          <w:vertAlign w:val="baseline"/>
          <w:lang w:val="en-US"/>
        </w:rPr>
        <w:t>Biochem</w:t>
      </w:r>
      <w:proofErr w:type="spellEnd"/>
      <w:r w:rsidRPr="00AB335D">
        <w:rPr>
          <w:rStyle w:val="Refdenotaalpie"/>
          <w:sz w:val="24"/>
          <w:szCs w:val="24"/>
          <w:vertAlign w:val="baseline"/>
          <w:lang w:val="en-US"/>
        </w:rPr>
        <w:t>. 2014; 51;2: 301-302</w:t>
      </w:r>
    </w:p>
    <w:p w:rsidR="00313C31" w:rsidRPr="00AB335D" w:rsidRDefault="00313C31" w:rsidP="0044148A">
      <w:pPr>
        <w:pStyle w:val="Prrafodelista"/>
        <w:numPr>
          <w:ilvl w:val="0"/>
          <w:numId w:val="7"/>
        </w:numPr>
        <w:spacing w:before="100" w:beforeAutospacing="1" w:after="100" w:afterAutospacing="1"/>
        <w:jc w:val="both"/>
        <w:rPr>
          <w:rFonts w:cstheme="minorHAnsi"/>
          <w:sz w:val="24"/>
          <w:szCs w:val="24"/>
        </w:rPr>
      </w:pPr>
      <w:r w:rsidRPr="00AB335D">
        <w:rPr>
          <w:sz w:val="24"/>
          <w:szCs w:val="24"/>
          <w:lang w:val="en-US"/>
        </w:rPr>
        <w:t xml:space="preserve">Council Recommendation. Official Journal of the European Union. Council Recommendation of December 2003 on Cancer Screening.  (2003/878/EC). </w:t>
      </w:r>
    </w:p>
    <w:p w:rsidR="00860487" w:rsidRPr="00AB335D" w:rsidRDefault="00860487" w:rsidP="0044148A">
      <w:pPr>
        <w:pStyle w:val="Prrafodelista"/>
        <w:numPr>
          <w:ilvl w:val="0"/>
          <w:numId w:val="7"/>
        </w:numPr>
        <w:spacing w:before="100" w:beforeAutospacing="1" w:after="100" w:afterAutospacing="1"/>
        <w:jc w:val="both"/>
        <w:rPr>
          <w:rFonts w:cstheme="minorHAnsi"/>
          <w:sz w:val="24"/>
          <w:szCs w:val="24"/>
        </w:rPr>
      </w:pPr>
      <w:r w:rsidRPr="005B2834">
        <w:rPr>
          <w:rStyle w:val="Refdenotaalpie"/>
          <w:sz w:val="24"/>
          <w:szCs w:val="24"/>
          <w:vertAlign w:val="baseline"/>
        </w:rPr>
        <w:t xml:space="preserve">Ministerio de </w:t>
      </w:r>
      <w:proofErr w:type="spellStart"/>
      <w:r w:rsidRPr="005B2834">
        <w:rPr>
          <w:rStyle w:val="Refdenotaalpie"/>
          <w:sz w:val="24"/>
          <w:szCs w:val="24"/>
          <w:vertAlign w:val="baseline"/>
        </w:rPr>
        <w:t>Sanidad</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Servicios</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Sociales</w:t>
      </w:r>
      <w:proofErr w:type="spellEnd"/>
      <w:r w:rsidRPr="005B2834">
        <w:rPr>
          <w:rStyle w:val="Refdenotaalpie"/>
          <w:sz w:val="24"/>
          <w:szCs w:val="24"/>
          <w:vertAlign w:val="baseline"/>
        </w:rPr>
        <w:t xml:space="preserve"> e </w:t>
      </w:r>
      <w:proofErr w:type="spellStart"/>
      <w:r w:rsidRPr="005B2834">
        <w:rPr>
          <w:rStyle w:val="Refdenotaalpie"/>
          <w:sz w:val="24"/>
          <w:szCs w:val="24"/>
          <w:vertAlign w:val="baseline"/>
        </w:rPr>
        <w:t>Igualdad</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Boletín</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Oficial</w:t>
      </w:r>
      <w:proofErr w:type="spellEnd"/>
      <w:r w:rsidRPr="005B2834">
        <w:rPr>
          <w:rStyle w:val="Refdenotaalpie"/>
          <w:sz w:val="24"/>
          <w:szCs w:val="24"/>
          <w:vertAlign w:val="baseline"/>
        </w:rPr>
        <w:t xml:space="preserve"> del </w:t>
      </w:r>
      <w:proofErr w:type="spellStart"/>
      <w:r w:rsidRPr="005B2834">
        <w:rPr>
          <w:rStyle w:val="Refdenotaalpie"/>
          <w:sz w:val="24"/>
          <w:szCs w:val="24"/>
          <w:vertAlign w:val="baseline"/>
        </w:rPr>
        <w:t>Estado</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Núm</w:t>
      </w:r>
      <w:proofErr w:type="spellEnd"/>
      <w:r w:rsidRPr="005B2834">
        <w:rPr>
          <w:rStyle w:val="Refdenotaalpie"/>
          <w:sz w:val="24"/>
          <w:szCs w:val="24"/>
          <w:vertAlign w:val="baseline"/>
        </w:rPr>
        <w:t xml:space="preserve">. 269 de </w:t>
      </w:r>
      <w:proofErr w:type="spellStart"/>
      <w:r w:rsidRPr="005B2834">
        <w:rPr>
          <w:rStyle w:val="Refdenotaalpie"/>
          <w:sz w:val="24"/>
          <w:szCs w:val="24"/>
          <w:vertAlign w:val="baseline"/>
        </w:rPr>
        <w:t>Jueves</w:t>
      </w:r>
      <w:proofErr w:type="spellEnd"/>
      <w:r w:rsidRPr="005B2834">
        <w:rPr>
          <w:rStyle w:val="Refdenotaalpie"/>
          <w:sz w:val="24"/>
          <w:szCs w:val="24"/>
          <w:vertAlign w:val="baseline"/>
        </w:rPr>
        <w:t xml:space="preserve"> 6 de </w:t>
      </w:r>
      <w:proofErr w:type="spellStart"/>
      <w:r w:rsidRPr="005B2834">
        <w:rPr>
          <w:rStyle w:val="Refdenotaalpie"/>
          <w:sz w:val="24"/>
          <w:szCs w:val="24"/>
          <w:vertAlign w:val="baseline"/>
        </w:rPr>
        <w:t>noviembre</w:t>
      </w:r>
      <w:proofErr w:type="spellEnd"/>
      <w:r w:rsidRPr="005B2834">
        <w:rPr>
          <w:rStyle w:val="Refdenotaalpie"/>
          <w:sz w:val="24"/>
          <w:szCs w:val="24"/>
          <w:vertAlign w:val="baseline"/>
        </w:rPr>
        <w:t xml:space="preserve"> de 2014; Orden SSI/2065/2014, de 31 de </w:t>
      </w:r>
      <w:proofErr w:type="spellStart"/>
      <w:r w:rsidRPr="005B2834">
        <w:rPr>
          <w:rStyle w:val="Refdenotaalpie"/>
          <w:sz w:val="24"/>
          <w:szCs w:val="24"/>
          <w:vertAlign w:val="baseline"/>
        </w:rPr>
        <w:t>octubre</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por</w:t>
      </w:r>
      <w:proofErr w:type="spellEnd"/>
      <w:r w:rsidRPr="005B2834">
        <w:rPr>
          <w:rStyle w:val="Refdenotaalpie"/>
          <w:sz w:val="24"/>
          <w:szCs w:val="24"/>
          <w:vertAlign w:val="baseline"/>
        </w:rPr>
        <w:t xml:space="preserve"> la </w:t>
      </w:r>
      <w:proofErr w:type="spellStart"/>
      <w:r w:rsidRPr="005B2834">
        <w:rPr>
          <w:rStyle w:val="Refdenotaalpie"/>
          <w:sz w:val="24"/>
          <w:szCs w:val="24"/>
          <w:vertAlign w:val="baseline"/>
        </w:rPr>
        <w:t>que</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se</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modifican</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los</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anexos</w:t>
      </w:r>
      <w:proofErr w:type="spellEnd"/>
      <w:r w:rsidRPr="005B2834">
        <w:rPr>
          <w:rStyle w:val="Refdenotaalpie"/>
          <w:sz w:val="24"/>
          <w:szCs w:val="24"/>
          <w:vertAlign w:val="baseline"/>
        </w:rPr>
        <w:t xml:space="preserve"> I, II y III del Real </w:t>
      </w:r>
      <w:proofErr w:type="spellStart"/>
      <w:r w:rsidRPr="005B2834">
        <w:rPr>
          <w:rStyle w:val="Refdenotaalpie"/>
          <w:sz w:val="24"/>
          <w:szCs w:val="24"/>
          <w:vertAlign w:val="baseline"/>
        </w:rPr>
        <w:t>Decreto</w:t>
      </w:r>
      <w:proofErr w:type="spellEnd"/>
      <w:r w:rsidRPr="005B2834">
        <w:rPr>
          <w:rStyle w:val="Refdenotaalpie"/>
          <w:sz w:val="24"/>
          <w:szCs w:val="24"/>
          <w:vertAlign w:val="baseline"/>
        </w:rPr>
        <w:t xml:space="preserve"> 1030/2006, de 15 de </w:t>
      </w:r>
      <w:proofErr w:type="spellStart"/>
      <w:r w:rsidRPr="005B2834">
        <w:rPr>
          <w:rStyle w:val="Refdenotaalpie"/>
          <w:sz w:val="24"/>
          <w:szCs w:val="24"/>
          <w:vertAlign w:val="baseline"/>
        </w:rPr>
        <w:t>septiembre</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por</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el</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que</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se</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establece</w:t>
      </w:r>
      <w:proofErr w:type="spellEnd"/>
      <w:r w:rsidRPr="005B2834">
        <w:rPr>
          <w:rStyle w:val="Refdenotaalpie"/>
          <w:sz w:val="24"/>
          <w:szCs w:val="24"/>
          <w:vertAlign w:val="baseline"/>
        </w:rPr>
        <w:t xml:space="preserve"> la </w:t>
      </w:r>
      <w:proofErr w:type="spellStart"/>
      <w:r w:rsidRPr="005B2834">
        <w:rPr>
          <w:rStyle w:val="Refdenotaalpie"/>
          <w:sz w:val="24"/>
          <w:szCs w:val="24"/>
          <w:vertAlign w:val="baseline"/>
        </w:rPr>
        <w:t>cartera</w:t>
      </w:r>
      <w:proofErr w:type="spellEnd"/>
      <w:r w:rsidRPr="005B2834">
        <w:rPr>
          <w:rStyle w:val="Refdenotaalpie"/>
          <w:sz w:val="24"/>
          <w:szCs w:val="24"/>
          <w:vertAlign w:val="baseline"/>
        </w:rPr>
        <w:t xml:space="preserve"> de </w:t>
      </w:r>
      <w:proofErr w:type="spellStart"/>
      <w:r w:rsidRPr="005B2834">
        <w:rPr>
          <w:rStyle w:val="Refdenotaalpie"/>
          <w:sz w:val="24"/>
          <w:szCs w:val="24"/>
          <w:vertAlign w:val="baseline"/>
        </w:rPr>
        <w:t>servicios</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comunes</w:t>
      </w:r>
      <w:proofErr w:type="spellEnd"/>
      <w:r w:rsidRPr="005B2834">
        <w:rPr>
          <w:rStyle w:val="Refdenotaalpie"/>
          <w:sz w:val="24"/>
          <w:szCs w:val="24"/>
          <w:vertAlign w:val="baseline"/>
        </w:rPr>
        <w:t xml:space="preserve"> del Sistema </w:t>
      </w:r>
      <w:proofErr w:type="spellStart"/>
      <w:r w:rsidRPr="005B2834">
        <w:rPr>
          <w:rStyle w:val="Refdenotaalpie"/>
          <w:sz w:val="24"/>
          <w:szCs w:val="24"/>
          <w:vertAlign w:val="baseline"/>
        </w:rPr>
        <w:t>Nacional</w:t>
      </w:r>
      <w:proofErr w:type="spellEnd"/>
      <w:r w:rsidRPr="005B2834">
        <w:rPr>
          <w:rStyle w:val="Refdenotaalpie"/>
          <w:sz w:val="24"/>
          <w:szCs w:val="24"/>
          <w:vertAlign w:val="baseline"/>
        </w:rPr>
        <w:t xml:space="preserve"> de </w:t>
      </w:r>
      <w:proofErr w:type="spellStart"/>
      <w:r w:rsidRPr="005B2834">
        <w:rPr>
          <w:rStyle w:val="Refdenotaalpie"/>
          <w:sz w:val="24"/>
          <w:szCs w:val="24"/>
          <w:vertAlign w:val="baseline"/>
        </w:rPr>
        <w:t>Salud</w:t>
      </w:r>
      <w:proofErr w:type="spellEnd"/>
      <w:r w:rsidRPr="005B2834">
        <w:rPr>
          <w:rStyle w:val="Refdenotaalpie"/>
          <w:sz w:val="24"/>
          <w:szCs w:val="24"/>
          <w:vertAlign w:val="baseline"/>
        </w:rPr>
        <w:t xml:space="preserve"> y </w:t>
      </w:r>
      <w:proofErr w:type="spellStart"/>
      <w:r w:rsidRPr="005B2834">
        <w:rPr>
          <w:rStyle w:val="Refdenotaalpie"/>
          <w:sz w:val="24"/>
          <w:szCs w:val="24"/>
          <w:vertAlign w:val="baseline"/>
        </w:rPr>
        <w:t>el</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procedimiento</w:t>
      </w:r>
      <w:proofErr w:type="spellEnd"/>
      <w:r w:rsidRPr="005B2834">
        <w:rPr>
          <w:rStyle w:val="Refdenotaalpie"/>
          <w:sz w:val="24"/>
          <w:szCs w:val="24"/>
          <w:vertAlign w:val="baseline"/>
        </w:rPr>
        <w:t xml:space="preserve"> para su </w:t>
      </w:r>
      <w:proofErr w:type="spellStart"/>
      <w:r w:rsidRPr="005B2834">
        <w:rPr>
          <w:rStyle w:val="Refdenotaalpie"/>
          <w:sz w:val="24"/>
          <w:szCs w:val="24"/>
          <w:vertAlign w:val="baseline"/>
        </w:rPr>
        <w:t>actualización</w:t>
      </w:r>
      <w:proofErr w:type="spellEnd"/>
      <w:r w:rsidRPr="005B2834">
        <w:rPr>
          <w:rStyle w:val="Refdenotaalpie"/>
          <w:sz w:val="24"/>
          <w:szCs w:val="24"/>
          <w:vertAlign w:val="baseline"/>
        </w:rPr>
        <w:t>.</w:t>
      </w:r>
      <w:r w:rsidRPr="005B2834">
        <w:rPr>
          <w:sz w:val="24"/>
          <w:szCs w:val="24"/>
        </w:rPr>
        <w:t xml:space="preserve"> </w:t>
      </w:r>
      <w:proofErr w:type="spellStart"/>
      <w:r w:rsidRPr="005B2834">
        <w:rPr>
          <w:sz w:val="24"/>
          <w:szCs w:val="24"/>
        </w:rPr>
        <w:t>Accesible</w:t>
      </w:r>
      <w:proofErr w:type="spellEnd"/>
      <w:r w:rsidRPr="005B2834">
        <w:rPr>
          <w:sz w:val="24"/>
          <w:szCs w:val="24"/>
        </w:rPr>
        <w:t xml:space="preserve"> </w:t>
      </w:r>
      <w:proofErr w:type="spellStart"/>
      <w:r w:rsidRPr="005B2834">
        <w:rPr>
          <w:sz w:val="24"/>
          <w:szCs w:val="24"/>
        </w:rPr>
        <w:t>en</w:t>
      </w:r>
      <w:proofErr w:type="spellEnd"/>
      <w:r w:rsidRPr="005B2834">
        <w:rPr>
          <w:sz w:val="24"/>
          <w:szCs w:val="24"/>
        </w:rPr>
        <w:t xml:space="preserve">: </w:t>
      </w:r>
      <w:hyperlink r:id="rId15" w:history="1">
        <w:r w:rsidRPr="005B2834">
          <w:rPr>
            <w:rStyle w:val="Hipervnculo"/>
            <w:sz w:val="24"/>
            <w:szCs w:val="24"/>
          </w:rPr>
          <w:t>http://www.boe.es/boe/dias/2014/11/06/pdfs/BOE-A-2014-11444.pdf</w:t>
        </w:r>
      </w:hyperlink>
    </w:p>
    <w:p w:rsidR="00BA6B19" w:rsidRPr="00AB335D" w:rsidRDefault="00BA6B19" w:rsidP="0044148A">
      <w:pPr>
        <w:pStyle w:val="Prrafodelista"/>
        <w:numPr>
          <w:ilvl w:val="0"/>
          <w:numId w:val="7"/>
        </w:numPr>
        <w:spacing w:before="100" w:beforeAutospacing="1" w:after="100" w:afterAutospacing="1"/>
        <w:jc w:val="both"/>
        <w:rPr>
          <w:rStyle w:val="Refdenotaalpie"/>
          <w:rFonts w:cstheme="minorHAnsi"/>
          <w:sz w:val="24"/>
          <w:szCs w:val="24"/>
          <w:vertAlign w:val="baseline"/>
        </w:rPr>
      </w:pPr>
      <w:r w:rsidRPr="005B2834">
        <w:rPr>
          <w:rStyle w:val="Refdenotaalpie"/>
          <w:sz w:val="24"/>
          <w:szCs w:val="24"/>
          <w:vertAlign w:val="baseline"/>
        </w:rPr>
        <w:t xml:space="preserve">Zubero MB, </w:t>
      </w:r>
      <w:proofErr w:type="spellStart"/>
      <w:r w:rsidRPr="005B2834">
        <w:rPr>
          <w:rStyle w:val="Refdenotaalpie"/>
          <w:sz w:val="24"/>
          <w:szCs w:val="24"/>
          <w:vertAlign w:val="baseline"/>
        </w:rPr>
        <w:t>Arana-Arri</w:t>
      </w:r>
      <w:proofErr w:type="spellEnd"/>
      <w:r w:rsidRPr="005B2834">
        <w:rPr>
          <w:rStyle w:val="Refdenotaalpie"/>
          <w:sz w:val="24"/>
          <w:szCs w:val="24"/>
          <w:vertAlign w:val="baseline"/>
        </w:rPr>
        <w:t>, E, Pijoan JI, Portillo I, Idigoras I</w:t>
      </w:r>
      <w:r w:rsidRPr="005B2834">
        <w:rPr>
          <w:sz w:val="24"/>
          <w:szCs w:val="24"/>
        </w:rPr>
        <w:t xml:space="preserve">, </w:t>
      </w:r>
      <w:proofErr w:type="spellStart"/>
      <w:r w:rsidRPr="005B2834">
        <w:rPr>
          <w:sz w:val="24"/>
          <w:szCs w:val="24"/>
        </w:rPr>
        <w:t>López-Urrutia</w:t>
      </w:r>
      <w:proofErr w:type="spellEnd"/>
      <w:r w:rsidRPr="005B2834">
        <w:rPr>
          <w:sz w:val="24"/>
          <w:szCs w:val="24"/>
        </w:rPr>
        <w:t xml:space="preserve"> A. </w:t>
      </w:r>
      <w:r w:rsidRPr="005B2834">
        <w:rPr>
          <w:rStyle w:val="Refdenotaalpie"/>
          <w:sz w:val="24"/>
          <w:szCs w:val="24"/>
          <w:vertAlign w:val="baseline"/>
        </w:rPr>
        <w:t xml:space="preserve">et </w:t>
      </w:r>
      <w:proofErr w:type="spellStart"/>
      <w:r w:rsidRPr="005B2834">
        <w:rPr>
          <w:rStyle w:val="Refdenotaalpie"/>
          <w:sz w:val="24"/>
          <w:szCs w:val="24"/>
          <w:vertAlign w:val="baseline"/>
        </w:rPr>
        <w:t>cols</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Population-based</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colorectal</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cancer</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screening</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comparision</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of</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two</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fecal</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occult</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blood</w:t>
      </w:r>
      <w:proofErr w:type="spellEnd"/>
      <w:r w:rsidRPr="005B2834">
        <w:rPr>
          <w:rStyle w:val="Refdenotaalpie"/>
          <w:sz w:val="24"/>
          <w:szCs w:val="24"/>
          <w:vertAlign w:val="baseline"/>
        </w:rPr>
        <w:t xml:space="preserve"> test. </w:t>
      </w:r>
      <w:proofErr w:type="spellStart"/>
      <w:r w:rsidRPr="005B2834">
        <w:rPr>
          <w:rStyle w:val="Refdenotaalpie"/>
          <w:sz w:val="24"/>
          <w:szCs w:val="24"/>
          <w:vertAlign w:val="baseline"/>
        </w:rPr>
        <w:t>Frontiers</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in</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Pharmacolology</w:t>
      </w:r>
      <w:proofErr w:type="spellEnd"/>
      <w:r w:rsidRPr="005B2834">
        <w:rPr>
          <w:rStyle w:val="Refdenotaalpie"/>
          <w:sz w:val="24"/>
          <w:szCs w:val="24"/>
          <w:vertAlign w:val="baseline"/>
        </w:rPr>
        <w:t xml:space="preserve"> 2014; 4; 175; 1-8</w:t>
      </w:r>
    </w:p>
    <w:p w:rsidR="00D739C4" w:rsidRPr="00AB335D" w:rsidRDefault="00D739C4" w:rsidP="0044148A">
      <w:pPr>
        <w:pStyle w:val="Prrafodelista"/>
        <w:numPr>
          <w:ilvl w:val="0"/>
          <w:numId w:val="7"/>
        </w:numPr>
        <w:spacing w:before="100" w:beforeAutospacing="1" w:after="100" w:afterAutospacing="1"/>
        <w:jc w:val="both"/>
        <w:rPr>
          <w:rStyle w:val="Refdenotaalpie"/>
          <w:rFonts w:cstheme="minorHAnsi"/>
          <w:sz w:val="24"/>
          <w:szCs w:val="24"/>
          <w:vertAlign w:val="baseline"/>
        </w:rPr>
      </w:pPr>
      <w:r w:rsidRPr="00AB335D">
        <w:rPr>
          <w:rStyle w:val="Refdenotaalpie"/>
          <w:rFonts w:cstheme="minorHAnsi"/>
          <w:sz w:val="24"/>
          <w:szCs w:val="24"/>
          <w:vertAlign w:val="baseline"/>
        </w:rPr>
        <w:fldChar w:fldCharType="begin"/>
      </w:r>
      <w:r w:rsidRPr="00AB335D">
        <w:rPr>
          <w:rStyle w:val="Refdenotaalpie"/>
          <w:rFonts w:cstheme="minorHAnsi"/>
          <w:sz w:val="24"/>
          <w:szCs w:val="24"/>
          <w:vertAlign w:val="baseline"/>
        </w:rPr>
        <w:instrText xml:space="preserve"> ADDIN ZOTERO_ITEM CSL_CITATION {"citationID":"jOcLeEpl","properties":{"formattedCitation":"{\\rtf I. Lansdorp-Vogelaar, A. B. Knudsen, y H. Brenner, \\uc0\\u171{}Cost-Effectiveness of Colorectal Cancer Screening\\uc0\\u187{}, \\i Epidemiologic Reviews\\i0{} 33, n.\\super o\\nosupersub{} 1 (1 de julio de 2011): 88-100, doi:10.1093/epirev/mxr004.}","plainCitation":"I. Lansdorp-Vogelaar, A. B. Knudsen, y H. Brenner, «Cost-Effectiveness of Colorectal Cancer Screening», Epidemiologic Reviews 33, n.o 1 (1 de julio de 2011): 88-100, doi:10.1093/epirev/mxr004."},"citationItems":[{"id":82,"uris":["http://zotero.org/users/2239794/items/URZR94XI"],"uri":["http://zotero.org/users/2239794/items/URZR94XI"],"itemData":{"id":82,"type":"article-journal","title":"Cost-effectiveness of Colorectal Cancer Screening","container-title":"Epidemiologic Reviews","page":"88-100","volume":"33","issue":"1","source":"CrossRef","DOI":"10.1093/epirev/mxr004","ISSN":"0193-936X, 1478-6729","language":"en","author":[{"family":"Lansdorp-Vogelaar","given":"I."},{"family":"Knudsen","given":"A. B."},{"family":"Brenner","given":"H."}],"issued":{"date-parts":[["2011",7,1]]},"accessed":{"date-parts":[["2015",1,11]],"season":"23:12:22"}}}],"schema":"https://github.com/citation-style-language/schema/raw/master/csl-citation.json"} </w:instrText>
      </w:r>
      <w:r w:rsidRPr="00AB335D">
        <w:rPr>
          <w:rStyle w:val="Refdenotaalpie"/>
          <w:rFonts w:cstheme="minorHAnsi"/>
          <w:sz w:val="24"/>
          <w:szCs w:val="24"/>
          <w:vertAlign w:val="baseline"/>
        </w:rPr>
        <w:fldChar w:fldCharType="separate"/>
      </w:r>
      <w:r w:rsidRPr="00AB335D">
        <w:rPr>
          <w:rStyle w:val="Refdenotaalpie"/>
          <w:rFonts w:cstheme="minorHAnsi"/>
          <w:sz w:val="24"/>
          <w:szCs w:val="24"/>
          <w:vertAlign w:val="baseline"/>
        </w:rPr>
        <w:t>Lansdorp-Vogelaar I, Knudsen AB, Brenner H. Cost-Effectiveness of Colorectal Cancer Screening. Epidemiologic Reviews 2011; 1: 88-100, doi:10.1093/epirev/mxr004.</w:t>
      </w:r>
      <w:r w:rsidRPr="00AB335D">
        <w:rPr>
          <w:rStyle w:val="Refdenotaalpie"/>
          <w:rFonts w:cstheme="minorHAnsi"/>
          <w:sz w:val="24"/>
          <w:szCs w:val="24"/>
          <w:vertAlign w:val="baseline"/>
        </w:rPr>
        <w:fldChar w:fldCharType="end"/>
      </w:r>
    </w:p>
    <w:p w:rsidR="00D739C4" w:rsidRPr="00AB335D" w:rsidRDefault="00D739C4" w:rsidP="0044148A">
      <w:pPr>
        <w:pStyle w:val="Prrafodelista"/>
        <w:numPr>
          <w:ilvl w:val="0"/>
          <w:numId w:val="7"/>
        </w:numPr>
        <w:spacing w:before="100" w:beforeAutospacing="1" w:after="100" w:afterAutospacing="1"/>
        <w:jc w:val="both"/>
        <w:rPr>
          <w:rStyle w:val="Refdenotaalpie"/>
          <w:rFonts w:cstheme="minorHAnsi"/>
          <w:sz w:val="24"/>
          <w:szCs w:val="24"/>
          <w:vertAlign w:val="baseline"/>
        </w:rPr>
      </w:pPr>
      <w:r w:rsidRPr="00AB335D">
        <w:rPr>
          <w:rStyle w:val="Refdenotaalpie"/>
          <w:rFonts w:cstheme="minorHAnsi"/>
          <w:sz w:val="24"/>
          <w:szCs w:val="24"/>
          <w:vertAlign w:val="baseline"/>
        </w:rPr>
        <w:fldChar w:fldCharType="begin"/>
      </w:r>
      <w:r w:rsidRPr="00AB335D">
        <w:rPr>
          <w:rStyle w:val="Refdenotaalpie"/>
          <w:rFonts w:cstheme="minorHAnsi"/>
          <w:sz w:val="24"/>
          <w:szCs w:val="24"/>
          <w:vertAlign w:val="baseline"/>
        </w:rPr>
        <w:instrText xml:space="preserve"> ADDIN ZOTERO_ITEM CSL_CITATION {"citationID":"LeO8nxb1","properties":{"formattedCitation":"{\\rtf B. Tran et\\uc0\\u160{}al., \\uc0\\u171{}Preliminary Analysis of the Cost-Effectiveness of the National Bowel Cancer Screening Program: Demonstrating the Potential Value of Comprehensive Real World Data\\uc0\\u187{}, \\i Internal Medicine Journal\\i0{} 42, n.\\super o\\nosupersub{} 7 (julio de 2012): 794-800, doi:10.1111/j.1445-5994.2011.02585.x.}","plainCitation":"B. Tran et al., «Preliminary Analysis of the Cost-Effectiveness of the National Bowel Cancer Screening Program: Demonstrating the Potential Value of Comprehensive Real World Data», Internal Medicine Journal 42, n.o 7 (julio de 2012): 794-800, doi:10.1111/j.1445-5994.2011.02585.x."},"citationItems":[{"id":39,"uris":["http://zotero.org/users/2239794/items/DNSF7DHU"],"uri":["http://zotero.org/users/2239794/items/DNSF7DHU"],"itemData":{"id":39,"type":"article-journal","title":"Preliminary analysis of the cost-effectiveness of the National Bowel Cancer Screening Program: demonstrating the potential value of comprehensive real world data","container-title":"Internal Medicine Journal","page":"794-800","volume":"42","issue":"7","source":"NCBI PubMed","abstract":"BACKGROUND/AIM: The complexity and cost of treating cancer patients is escalating rapidly and increasingly difficult decisions are being made regarding which interventions provide value for money. BioGrid Australia supports collection and analysis of comprehensive treatment and outcome data across multiple sites. Here, we use preliminary data regarding the National Bowel Cancer Screening Program (NBCSP) and stage-specific treatment costs for colorectal cancer (CRC) to demonstrate the potential value of real world data for cost-effectiveness analyses (CEA).\nMETHODS: Data regarding the impact of NBCSP on stage at diagnosis were combined with stage-specific CRC treatment costs and existing literature. An incremental CEA was undertaken from a government healthcare perspective, comparing NBCSP with no screening. The 2008 invited population (n= 681,915) was modelled in both scenarios. Effectiveness was expressed as CRC-related life years saved (LYS). Costs and benefits were discounted at 3% per annum.\nRESULTS: Over the lifetime and relative to no screening, NBCSP was predicted to save 1265 life years, prevent 225 CRC cases and cost an additional $48.3 million, equivalent to a cost-effectiveness ratio of $38,217 per LYS. A scenario analysis assuming full participation improved this to $23,395.\nCONCLUSIONS: This preliminary CEA based largely on contemporary real world data suggests population-based faecal occult blood test screening for CRC is attractive. Planned ongoing data collection will enable repeated analyses over time, using the same methodology in the same patient populations, permitting an accurate analysis of the impact of new therapies and changing practice. Similar CEA using real world data related to other disease types and interventions appears desirable.","DOI":"10.1111/j.1445-5994.2011.02585.x","ISSN":"1445-5994","note":"PMID: 21883782","shortTitle":"Preliminary analysis of the cost-effectiveness of the National Bowel Cancer Screening Program","journalAbbreviation":"Intern Med J","language":"eng","author":[{"family":"Tran","given":"B."},{"family":"Keating","given":"C. L."},{"family":"Ananda","given":"S. S."},{"family":"Kosmider","given":"S."},{"family":"Jones","given":"I."},{"family":"Croxford","given":"M."},{"family":"Field","given":"K. M."},{"family":"Carter","given":"R. C."},{"family":"Gibbs","given":"P."}],"issued":{"date-parts":[["2012",7]]},"PMID":"21883782"}}],"schema":"https://github.com/citation-style-language/schema/raw/master/csl-citation.json"} </w:instrText>
      </w:r>
      <w:r w:rsidRPr="00AB335D">
        <w:rPr>
          <w:rStyle w:val="Refdenotaalpie"/>
          <w:rFonts w:cstheme="minorHAnsi"/>
          <w:sz w:val="24"/>
          <w:szCs w:val="24"/>
          <w:vertAlign w:val="baseline"/>
        </w:rPr>
        <w:fldChar w:fldCharType="separate"/>
      </w:r>
      <w:r w:rsidRPr="00AB335D">
        <w:rPr>
          <w:rStyle w:val="Refdenotaalpie"/>
          <w:rFonts w:cstheme="minorHAnsi"/>
          <w:sz w:val="24"/>
          <w:szCs w:val="24"/>
          <w:vertAlign w:val="baseline"/>
        </w:rPr>
        <w:t>Tran B</w:t>
      </w:r>
      <w:r w:rsidR="00CB2DE8" w:rsidRPr="00AB335D">
        <w:rPr>
          <w:rFonts w:cstheme="minorHAnsi"/>
          <w:sz w:val="24"/>
          <w:szCs w:val="24"/>
        </w:rPr>
        <w:t xml:space="preserve">, Keating CL, </w:t>
      </w:r>
      <w:r w:rsidRPr="00AB335D">
        <w:rPr>
          <w:rStyle w:val="Refdenotaalpie"/>
          <w:rFonts w:cstheme="minorHAnsi"/>
          <w:sz w:val="24"/>
          <w:szCs w:val="24"/>
          <w:vertAlign w:val="baseline"/>
        </w:rPr>
        <w:t xml:space="preserve"> </w:t>
      </w:r>
      <w:r w:rsidR="00CB2DE8" w:rsidRPr="00AB335D">
        <w:rPr>
          <w:rFonts w:cstheme="minorHAnsi"/>
          <w:sz w:val="24"/>
          <w:szCs w:val="24"/>
        </w:rPr>
        <w:t xml:space="preserve">ananda S, Komisder S, Jones I </w:t>
      </w:r>
      <w:r w:rsidRPr="00AB335D">
        <w:rPr>
          <w:rStyle w:val="Refdenotaalpie"/>
          <w:rFonts w:cstheme="minorHAnsi"/>
          <w:sz w:val="24"/>
          <w:szCs w:val="24"/>
          <w:vertAlign w:val="baseline"/>
        </w:rPr>
        <w:t xml:space="preserve">et </w:t>
      </w:r>
      <w:r w:rsidR="00CB2DE8" w:rsidRPr="00AB335D">
        <w:rPr>
          <w:rFonts w:cstheme="minorHAnsi"/>
          <w:sz w:val="24"/>
          <w:szCs w:val="24"/>
        </w:rPr>
        <w:t>cols</w:t>
      </w:r>
      <w:r w:rsidRPr="00AB335D">
        <w:rPr>
          <w:rStyle w:val="Refdenotaalpie"/>
          <w:rFonts w:cstheme="minorHAnsi"/>
          <w:sz w:val="24"/>
          <w:szCs w:val="24"/>
          <w:vertAlign w:val="baseline"/>
        </w:rPr>
        <w:t>. Preliminary Analysis of the Cost-Effectiveness of the National Bowel Cancer Screening Program: Demonstrating the Potential Value of Comprehensive Real World Data. Internal Medicine 2012; 7: 794-800, doi:10.1111/j.1445-5994.2011.02585.x.</w:t>
      </w:r>
      <w:r w:rsidRPr="00AB335D">
        <w:rPr>
          <w:rStyle w:val="Refdenotaalpie"/>
          <w:rFonts w:cstheme="minorHAnsi"/>
          <w:sz w:val="24"/>
          <w:szCs w:val="24"/>
          <w:vertAlign w:val="baseline"/>
        </w:rPr>
        <w:fldChar w:fldCharType="end"/>
      </w:r>
    </w:p>
    <w:p w:rsidR="006F0A9F" w:rsidRPr="00AB335D" w:rsidRDefault="006F0A9F" w:rsidP="0044148A">
      <w:pPr>
        <w:pStyle w:val="Prrafodelista"/>
        <w:numPr>
          <w:ilvl w:val="0"/>
          <w:numId w:val="7"/>
        </w:numPr>
        <w:spacing w:before="100" w:beforeAutospacing="1" w:after="100" w:afterAutospacing="1"/>
        <w:jc w:val="both"/>
        <w:rPr>
          <w:rStyle w:val="Refdenotaalpie"/>
          <w:rFonts w:cstheme="minorHAnsi"/>
          <w:sz w:val="24"/>
          <w:szCs w:val="24"/>
          <w:vertAlign w:val="baseline"/>
        </w:rPr>
      </w:pPr>
      <w:proofErr w:type="spellStart"/>
      <w:r w:rsidRPr="005B2834">
        <w:rPr>
          <w:rStyle w:val="Refdenotaalpie"/>
          <w:sz w:val="24"/>
          <w:szCs w:val="24"/>
          <w:vertAlign w:val="baseline"/>
        </w:rPr>
        <w:t>Quintero</w:t>
      </w:r>
      <w:proofErr w:type="spellEnd"/>
      <w:r w:rsidRPr="005B2834">
        <w:rPr>
          <w:rStyle w:val="Refdenotaalpie"/>
          <w:sz w:val="24"/>
          <w:szCs w:val="24"/>
          <w:vertAlign w:val="baseline"/>
        </w:rPr>
        <w:t xml:space="preserve"> E, </w:t>
      </w:r>
      <w:proofErr w:type="spellStart"/>
      <w:r w:rsidRPr="005B2834">
        <w:rPr>
          <w:rStyle w:val="Refdenotaalpie"/>
          <w:sz w:val="24"/>
          <w:szCs w:val="24"/>
          <w:vertAlign w:val="baseline"/>
        </w:rPr>
        <w:t>Castells</w:t>
      </w:r>
      <w:proofErr w:type="spellEnd"/>
      <w:r w:rsidRPr="005B2834">
        <w:rPr>
          <w:rStyle w:val="Refdenotaalpie"/>
          <w:sz w:val="24"/>
          <w:szCs w:val="24"/>
          <w:vertAlign w:val="baseline"/>
        </w:rPr>
        <w:t xml:space="preserve"> A, Bujanda L, </w:t>
      </w:r>
      <w:proofErr w:type="spellStart"/>
      <w:r w:rsidRPr="005B2834">
        <w:rPr>
          <w:rStyle w:val="Refdenotaalpie"/>
          <w:sz w:val="24"/>
          <w:szCs w:val="24"/>
          <w:vertAlign w:val="baseline"/>
        </w:rPr>
        <w:t>Cubiella</w:t>
      </w:r>
      <w:proofErr w:type="spellEnd"/>
      <w:r w:rsidRPr="005B2834">
        <w:rPr>
          <w:rStyle w:val="Refdenotaalpie"/>
          <w:sz w:val="24"/>
          <w:szCs w:val="24"/>
          <w:vertAlign w:val="baseline"/>
        </w:rPr>
        <w:t xml:space="preserve"> J, Salas D, </w:t>
      </w:r>
      <w:proofErr w:type="spellStart"/>
      <w:r w:rsidRPr="005B2834">
        <w:rPr>
          <w:rStyle w:val="Refdenotaalpie"/>
          <w:sz w:val="24"/>
          <w:szCs w:val="24"/>
          <w:vertAlign w:val="baseline"/>
        </w:rPr>
        <w:t>Lanas</w:t>
      </w:r>
      <w:proofErr w:type="spellEnd"/>
      <w:r w:rsidRPr="005B2834">
        <w:rPr>
          <w:rStyle w:val="Refdenotaalpie"/>
          <w:sz w:val="24"/>
          <w:szCs w:val="24"/>
          <w:vertAlign w:val="baseline"/>
        </w:rPr>
        <w:t xml:space="preserve"> A et al. </w:t>
      </w:r>
      <w:proofErr w:type="spellStart"/>
      <w:r w:rsidRPr="005B2834">
        <w:rPr>
          <w:rStyle w:val="Refdenotaalpie"/>
          <w:sz w:val="24"/>
          <w:szCs w:val="24"/>
          <w:vertAlign w:val="baseline"/>
        </w:rPr>
        <w:t>Colonoscopy</w:t>
      </w:r>
      <w:proofErr w:type="spellEnd"/>
      <w:r w:rsidRPr="005B2834">
        <w:rPr>
          <w:rStyle w:val="Refdenotaalpie"/>
          <w:sz w:val="24"/>
          <w:szCs w:val="24"/>
          <w:vertAlign w:val="baseline"/>
        </w:rPr>
        <w:t xml:space="preserve"> versus </w:t>
      </w:r>
      <w:proofErr w:type="spellStart"/>
      <w:r w:rsidRPr="005B2834">
        <w:rPr>
          <w:rStyle w:val="Refdenotaalpie"/>
          <w:sz w:val="24"/>
          <w:szCs w:val="24"/>
          <w:vertAlign w:val="baseline"/>
        </w:rPr>
        <w:t>fecal</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immunochemical</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testing</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in</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colorectal-cancer</w:t>
      </w:r>
      <w:proofErr w:type="spellEnd"/>
      <w:r w:rsidRPr="005B2834">
        <w:rPr>
          <w:rStyle w:val="Refdenotaalpie"/>
          <w:sz w:val="24"/>
          <w:szCs w:val="24"/>
          <w:vertAlign w:val="baseline"/>
        </w:rPr>
        <w:t xml:space="preserve"> </w:t>
      </w:r>
      <w:proofErr w:type="spellStart"/>
      <w:r w:rsidRPr="005B2834">
        <w:rPr>
          <w:rStyle w:val="Refdenotaalpie"/>
          <w:sz w:val="24"/>
          <w:szCs w:val="24"/>
          <w:vertAlign w:val="baseline"/>
        </w:rPr>
        <w:t>screening</w:t>
      </w:r>
      <w:proofErr w:type="spellEnd"/>
      <w:r w:rsidRPr="005B2834">
        <w:rPr>
          <w:rStyle w:val="Refdenotaalpie"/>
          <w:sz w:val="24"/>
          <w:szCs w:val="24"/>
          <w:vertAlign w:val="baseline"/>
        </w:rPr>
        <w:t xml:space="preserve">. N </w:t>
      </w:r>
      <w:proofErr w:type="spellStart"/>
      <w:r w:rsidRPr="005B2834">
        <w:rPr>
          <w:rStyle w:val="Refdenotaalpie"/>
          <w:sz w:val="24"/>
          <w:szCs w:val="24"/>
          <w:vertAlign w:val="baseline"/>
        </w:rPr>
        <w:t>Engl</w:t>
      </w:r>
      <w:proofErr w:type="spellEnd"/>
      <w:r w:rsidRPr="005B2834">
        <w:rPr>
          <w:rStyle w:val="Refdenotaalpie"/>
          <w:sz w:val="24"/>
          <w:szCs w:val="24"/>
          <w:vertAlign w:val="baseline"/>
        </w:rPr>
        <w:t xml:space="preserve"> J </w:t>
      </w:r>
      <w:proofErr w:type="spellStart"/>
      <w:r w:rsidRPr="005B2834">
        <w:rPr>
          <w:rStyle w:val="Refdenotaalpie"/>
          <w:sz w:val="24"/>
          <w:szCs w:val="24"/>
          <w:vertAlign w:val="baseline"/>
        </w:rPr>
        <w:t>Med</w:t>
      </w:r>
      <w:proofErr w:type="spellEnd"/>
      <w:r w:rsidRPr="005B2834">
        <w:rPr>
          <w:rStyle w:val="Refdenotaalpie"/>
          <w:sz w:val="24"/>
          <w:szCs w:val="24"/>
          <w:vertAlign w:val="baseline"/>
        </w:rPr>
        <w:t xml:space="preserve"> 2012; 366: 697-706</w:t>
      </w:r>
    </w:p>
    <w:p w:rsidR="0082490C" w:rsidRPr="00AB335D" w:rsidRDefault="0082490C" w:rsidP="0044148A">
      <w:pPr>
        <w:pStyle w:val="Prrafodelista"/>
        <w:numPr>
          <w:ilvl w:val="0"/>
          <w:numId w:val="7"/>
        </w:numPr>
        <w:autoSpaceDE w:val="0"/>
        <w:autoSpaceDN w:val="0"/>
        <w:adjustRightInd w:val="0"/>
        <w:spacing w:after="0" w:line="240" w:lineRule="auto"/>
        <w:jc w:val="both"/>
        <w:rPr>
          <w:rFonts w:cstheme="minorHAnsi"/>
          <w:sz w:val="24"/>
          <w:szCs w:val="24"/>
        </w:rPr>
      </w:pPr>
      <w:proofErr w:type="spellStart"/>
      <w:r w:rsidRPr="005B2834">
        <w:rPr>
          <w:sz w:val="24"/>
          <w:szCs w:val="24"/>
        </w:rPr>
        <w:t>von</w:t>
      </w:r>
      <w:proofErr w:type="spellEnd"/>
      <w:r w:rsidRPr="005B2834">
        <w:rPr>
          <w:sz w:val="24"/>
          <w:szCs w:val="24"/>
        </w:rPr>
        <w:t xml:space="preserve"> </w:t>
      </w:r>
      <w:proofErr w:type="spellStart"/>
      <w:r w:rsidRPr="005B2834">
        <w:rPr>
          <w:sz w:val="24"/>
          <w:szCs w:val="24"/>
        </w:rPr>
        <w:t>Karsa</w:t>
      </w:r>
      <w:proofErr w:type="spellEnd"/>
      <w:r w:rsidRPr="005B2834">
        <w:rPr>
          <w:sz w:val="24"/>
          <w:szCs w:val="24"/>
        </w:rPr>
        <w:t xml:space="preserve"> L, </w:t>
      </w:r>
      <w:proofErr w:type="spellStart"/>
      <w:r w:rsidRPr="005B2834">
        <w:rPr>
          <w:sz w:val="24"/>
          <w:szCs w:val="24"/>
        </w:rPr>
        <w:t>Anttila</w:t>
      </w:r>
      <w:proofErr w:type="spellEnd"/>
      <w:r w:rsidRPr="005B2834">
        <w:rPr>
          <w:sz w:val="24"/>
          <w:szCs w:val="24"/>
        </w:rPr>
        <w:t xml:space="preserve"> A, </w:t>
      </w:r>
      <w:proofErr w:type="spellStart"/>
      <w:r w:rsidRPr="005B2834">
        <w:rPr>
          <w:sz w:val="24"/>
          <w:szCs w:val="24"/>
        </w:rPr>
        <w:t>Ronco</w:t>
      </w:r>
      <w:proofErr w:type="spellEnd"/>
      <w:r w:rsidRPr="005B2834">
        <w:rPr>
          <w:sz w:val="24"/>
          <w:szCs w:val="24"/>
        </w:rPr>
        <w:t xml:space="preserve"> G, </w:t>
      </w:r>
      <w:proofErr w:type="spellStart"/>
      <w:r w:rsidRPr="005B2834">
        <w:rPr>
          <w:sz w:val="24"/>
          <w:szCs w:val="24"/>
        </w:rPr>
        <w:t>Ponti</w:t>
      </w:r>
      <w:proofErr w:type="spellEnd"/>
      <w:r w:rsidRPr="005B2834">
        <w:rPr>
          <w:sz w:val="24"/>
          <w:szCs w:val="24"/>
        </w:rPr>
        <w:t xml:space="preserve"> A, </w:t>
      </w:r>
      <w:proofErr w:type="spellStart"/>
      <w:r w:rsidRPr="005B2834">
        <w:rPr>
          <w:sz w:val="24"/>
          <w:szCs w:val="24"/>
        </w:rPr>
        <w:t>Malila</w:t>
      </w:r>
      <w:proofErr w:type="spellEnd"/>
      <w:r w:rsidRPr="005B2834">
        <w:rPr>
          <w:sz w:val="24"/>
          <w:szCs w:val="24"/>
        </w:rPr>
        <w:t xml:space="preserve"> N, </w:t>
      </w:r>
      <w:proofErr w:type="spellStart"/>
      <w:r w:rsidRPr="005B2834">
        <w:rPr>
          <w:sz w:val="24"/>
          <w:szCs w:val="24"/>
        </w:rPr>
        <w:t>Arbyn</w:t>
      </w:r>
      <w:proofErr w:type="spellEnd"/>
      <w:r w:rsidRPr="005B2834">
        <w:rPr>
          <w:sz w:val="24"/>
          <w:szCs w:val="24"/>
        </w:rPr>
        <w:t xml:space="preserve"> M, </w:t>
      </w:r>
      <w:proofErr w:type="spellStart"/>
      <w:r w:rsidRPr="005B2834">
        <w:rPr>
          <w:sz w:val="24"/>
          <w:szCs w:val="24"/>
        </w:rPr>
        <w:t>Segnan</w:t>
      </w:r>
      <w:proofErr w:type="spellEnd"/>
      <w:r w:rsidRPr="005B2834">
        <w:rPr>
          <w:sz w:val="24"/>
          <w:szCs w:val="24"/>
        </w:rPr>
        <w:t xml:space="preserve"> N, </w:t>
      </w:r>
      <w:proofErr w:type="spellStart"/>
      <w:r w:rsidRPr="005B2834">
        <w:rPr>
          <w:sz w:val="24"/>
          <w:szCs w:val="24"/>
        </w:rPr>
        <w:t>Castillo-Beltran</w:t>
      </w:r>
      <w:proofErr w:type="spellEnd"/>
      <w:r w:rsidRPr="005B2834">
        <w:rPr>
          <w:sz w:val="24"/>
          <w:szCs w:val="24"/>
        </w:rPr>
        <w:t xml:space="preserve"> M, </w:t>
      </w:r>
      <w:proofErr w:type="spellStart"/>
      <w:r w:rsidRPr="005B2834">
        <w:rPr>
          <w:sz w:val="24"/>
          <w:szCs w:val="24"/>
        </w:rPr>
        <w:t>Boniol</w:t>
      </w:r>
      <w:proofErr w:type="spellEnd"/>
      <w:r w:rsidRPr="005B2834">
        <w:rPr>
          <w:sz w:val="24"/>
          <w:szCs w:val="24"/>
        </w:rPr>
        <w:t xml:space="preserve"> M, </w:t>
      </w:r>
      <w:proofErr w:type="spellStart"/>
      <w:r w:rsidRPr="005B2834">
        <w:rPr>
          <w:sz w:val="24"/>
          <w:szCs w:val="24"/>
        </w:rPr>
        <w:t>Ferlay</w:t>
      </w:r>
      <w:proofErr w:type="spellEnd"/>
      <w:r w:rsidRPr="005B2834">
        <w:rPr>
          <w:sz w:val="24"/>
          <w:szCs w:val="24"/>
        </w:rPr>
        <w:t xml:space="preserve"> J, </w:t>
      </w:r>
      <w:proofErr w:type="spellStart"/>
      <w:r w:rsidRPr="005B2834">
        <w:rPr>
          <w:sz w:val="24"/>
          <w:szCs w:val="24"/>
        </w:rPr>
        <w:t>Hery</w:t>
      </w:r>
      <w:proofErr w:type="spellEnd"/>
      <w:r w:rsidRPr="005B2834">
        <w:rPr>
          <w:sz w:val="24"/>
          <w:szCs w:val="24"/>
        </w:rPr>
        <w:t xml:space="preserve"> C, </w:t>
      </w:r>
      <w:proofErr w:type="spellStart"/>
      <w:r w:rsidRPr="005B2834">
        <w:rPr>
          <w:sz w:val="24"/>
          <w:szCs w:val="24"/>
        </w:rPr>
        <w:t>Sauvaget</w:t>
      </w:r>
      <w:proofErr w:type="spellEnd"/>
      <w:r w:rsidRPr="005B2834">
        <w:rPr>
          <w:sz w:val="24"/>
          <w:szCs w:val="24"/>
        </w:rPr>
        <w:t xml:space="preserve"> C, </w:t>
      </w:r>
      <w:proofErr w:type="spellStart"/>
      <w:r w:rsidRPr="005B2834">
        <w:rPr>
          <w:sz w:val="24"/>
          <w:szCs w:val="24"/>
        </w:rPr>
        <w:t>Voti</w:t>
      </w:r>
      <w:proofErr w:type="spellEnd"/>
      <w:r w:rsidRPr="005B2834">
        <w:rPr>
          <w:sz w:val="24"/>
          <w:szCs w:val="24"/>
        </w:rPr>
        <w:t xml:space="preserve"> L, </w:t>
      </w:r>
      <w:proofErr w:type="spellStart"/>
      <w:r w:rsidRPr="005B2834">
        <w:rPr>
          <w:sz w:val="24"/>
          <w:szCs w:val="24"/>
        </w:rPr>
        <w:t>Autier</w:t>
      </w:r>
      <w:proofErr w:type="spellEnd"/>
      <w:r w:rsidRPr="005B2834">
        <w:rPr>
          <w:sz w:val="24"/>
          <w:szCs w:val="24"/>
        </w:rPr>
        <w:t xml:space="preserve"> P. </w:t>
      </w:r>
      <w:proofErr w:type="spellStart"/>
      <w:r w:rsidRPr="005B2834">
        <w:rPr>
          <w:sz w:val="24"/>
          <w:szCs w:val="24"/>
        </w:rPr>
        <w:t>Report</w:t>
      </w:r>
      <w:proofErr w:type="spellEnd"/>
      <w:r w:rsidRPr="005B2834">
        <w:rPr>
          <w:sz w:val="24"/>
          <w:szCs w:val="24"/>
        </w:rPr>
        <w:t xml:space="preserve"> on </w:t>
      </w:r>
      <w:proofErr w:type="spellStart"/>
      <w:r w:rsidRPr="005B2834">
        <w:rPr>
          <w:sz w:val="24"/>
          <w:szCs w:val="24"/>
        </w:rPr>
        <w:t>the</w:t>
      </w:r>
      <w:proofErr w:type="spellEnd"/>
      <w:r w:rsidRPr="005B2834">
        <w:rPr>
          <w:sz w:val="24"/>
          <w:szCs w:val="24"/>
        </w:rPr>
        <w:t xml:space="preserve"> </w:t>
      </w:r>
      <w:proofErr w:type="spellStart"/>
      <w:r w:rsidRPr="005B2834">
        <w:rPr>
          <w:sz w:val="24"/>
          <w:szCs w:val="24"/>
        </w:rPr>
        <w:lastRenderedPageBreak/>
        <w:t>Implementation</w:t>
      </w:r>
      <w:proofErr w:type="spellEnd"/>
      <w:r w:rsidRPr="005B2834">
        <w:rPr>
          <w:sz w:val="24"/>
          <w:szCs w:val="24"/>
        </w:rPr>
        <w:t xml:space="preserve"> </w:t>
      </w:r>
      <w:proofErr w:type="spellStart"/>
      <w:r w:rsidRPr="005B2834">
        <w:rPr>
          <w:sz w:val="24"/>
          <w:szCs w:val="24"/>
        </w:rPr>
        <w:t>of</w:t>
      </w:r>
      <w:proofErr w:type="spellEnd"/>
      <w:r w:rsidRPr="005B2834">
        <w:rPr>
          <w:sz w:val="24"/>
          <w:szCs w:val="24"/>
        </w:rPr>
        <w:t xml:space="preserve"> </w:t>
      </w:r>
      <w:proofErr w:type="spellStart"/>
      <w:r w:rsidRPr="005B2834">
        <w:rPr>
          <w:sz w:val="24"/>
          <w:szCs w:val="24"/>
        </w:rPr>
        <w:t>the</w:t>
      </w:r>
      <w:proofErr w:type="spellEnd"/>
      <w:r w:rsidRPr="005B2834">
        <w:rPr>
          <w:sz w:val="24"/>
          <w:szCs w:val="24"/>
        </w:rPr>
        <w:t xml:space="preserve"> </w:t>
      </w:r>
      <w:proofErr w:type="spellStart"/>
      <w:r w:rsidRPr="005B2834">
        <w:rPr>
          <w:sz w:val="24"/>
          <w:szCs w:val="24"/>
        </w:rPr>
        <w:t>Council</w:t>
      </w:r>
      <w:proofErr w:type="spellEnd"/>
      <w:r w:rsidRPr="005B2834">
        <w:rPr>
          <w:sz w:val="24"/>
          <w:szCs w:val="24"/>
        </w:rPr>
        <w:t xml:space="preserve"> </w:t>
      </w:r>
      <w:proofErr w:type="spellStart"/>
      <w:r w:rsidRPr="005B2834">
        <w:rPr>
          <w:sz w:val="24"/>
          <w:szCs w:val="24"/>
        </w:rPr>
        <w:t>Recommendation</w:t>
      </w:r>
      <w:proofErr w:type="spellEnd"/>
      <w:r w:rsidRPr="005B2834">
        <w:rPr>
          <w:sz w:val="24"/>
          <w:szCs w:val="24"/>
        </w:rPr>
        <w:t xml:space="preserve"> on </w:t>
      </w:r>
      <w:proofErr w:type="spellStart"/>
      <w:r w:rsidRPr="005B2834">
        <w:rPr>
          <w:sz w:val="24"/>
          <w:szCs w:val="24"/>
        </w:rPr>
        <w:t>cancer</w:t>
      </w:r>
      <w:proofErr w:type="spellEnd"/>
      <w:r w:rsidRPr="005B2834">
        <w:rPr>
          <w:sz w:val="24"/>
          <w:szCs w:val="24"/>
        </w:rPr>
        <w:t xml:space="preserve"> </w:t>
      </w:r>
      <w:proofErr w:type="spellStart"/>
      <w:r w:rsidRPr="005B2834">
        <w:rPr>
          <w:sz w:val="24"/>
          <w:szCs w:val="24"/>
        </w:rPr>
        <w:t>screening</w:t>
      </w:r>
      <w:proofErr w:type="spellEnd"/>
      <w:r w:rsidRPr="005B2834">
        <w:rPr>
          <w:sz w:val="24"/>
          <w:szCs w:val="24"/>
        </w:rPr>
        <w:t xml:space="preserve">.  2008. </w:t>
      </w:r>
      <w:proofErr w:type="spellStart"/>
      <w:r w:rsidRPr="005B2834">
        <w:rPr>
          <w:sz w:val="24"/>
          <w:szCs w:val="24"/>
        </w:rPr>
        <w:t>Disponible</w:t>
      </w:r>
      <w:proofErr w:type="spellEnd"/>
      <w:r w:rsidRPr="005B2834">
        <w:rPr>
          <w:sz w:val="24"/>
          <w:szCs w:val="24"/>
        </w:rPr>
        <w:t xml:space="preserve"> </w:t>
      </w:r>
      <w:proofErr w:type="spellStart"/>
      <w:r w:rsidRPr="005B2834">
        <w:rPr>
          <w:sz w:val="24"/>
          <w:szCs w:val="24"/>
        </w:rPr>
        <w:t>en</w:t>
      </w:r>
      <w:proofErr w:type="spellEnd"/>
      <w:r w:rsidRPr="005B2834">
        <w:rPr>
          <w:sz w:val="24"/>
          <w:szCs w:val="24"/>
        </w:rPr>
        <w:t xml:space="preserve"> </w:t>
      </w:r>
      <w:proofErr w:type="spellStart"/>
      <w:r w:rsidRPr="005B2834">
        <w:rPr>
          <w:sz w:val="24"/>
          <w:szCs w:val="24"/>
        </w:rPr>
        <w:t>from</w:t>
      </w:r>
      <w:proofErr w:type="spellEnd"/>
      <w:r w:rsidRPr="005B2834">
        <w:rPr>
          <w:sz w:val="24"/>
          <w:szCs w:val="24"/>
        </w:rPr>
        <w:t xml:space="preserve">: URL: </w:t>
      </w:r>
      <w:hyperlink r:id="rId16" w:history="1">
        <w:r w:rsidRPr="005B2834">
          <w:rPr>
            <w:rStyle w:val="Hipervnculo"/>
            <w:sz w:val="24"/>
            <w:szCs w:val="24"/>
          </w:rPr>
          <w:t>http://ec.europa.eu/health/ph_determinants/genetics/documents/cancer_screening.pdf</w:t>
        </w:r>
      </w:hyperlink>
    </w:p>
    <w:p w:rsidR="00860487" w:rsidRPr="00AB335D" w:rsidRDefault="008264FC" w:rsidP="0044148A">
      <w:pPr>
        <w:pStyle w:val="Prrafodelista"/>
        <w:numPr>
          <w:ilvl w:val="0"/>
          <w:numId w:val="7"/>
        </w:numPr>
        <w:autoSpaceDE w:val="0"/>
        <w:autoSpaceDN w:val="0"/>
        <w:adjustRightInd w:val="0"/>
        <w:spacing w:before="100" w:beforeAutospacing="1" w:after="100" w:afterAutospacing="1" w:line="240" w:lineRule="auto"/>
        <w:jc w:val="both"/>
        <w:rPr>
          <w:rFonts w:cstheme="minorHAnsi"/>
          <w:sz w:val="24"/>
          <w:szCs w:val="24"/>
        </w:rPr>
      </w:pPr>
      <w:proofErr w:type="spellStart"/>
      <w:r w:rsidRPr="005B2834">
        <w:rPr>
          <w:color w:val="000000"/>
          <w:sz w:val="24"/>
          <w:szCs w:val="24"/>
        </w:rPr>
        <w:t>Loeve</w:t>
      </w:r>
      <w:proofErr w:type="spellEnd"/>
      <w:r w:rsidRPr="005B2834">
        <w:rPr>
          <w:color w:val="000000"/>
          <w:sz w:val="24"/>
          <w:szCs w:val="24"/>
        </w:rPr>
        <w:t xml:space="preserve"> F, </w:t>
      </w:r>
      <w:proofErr w:type="spellStart"/>
      <w:r w:rsidRPr="005B2834">
        <w:rPr>
          <w:color w:val="000000"/>
          <w:sz w:val="24"/>
          <w:szCs w:val="24"/>
        </w:rPr>
        <w:t>Boer</w:t>
      </w:r>
      <w:proofErr w:type="spellEnd"/>
      <w:r w:rsidRPr="005B2834">
        <w:rPr>
          <w:color w:val="000000"/>
          <w:sz w:val="24"/>
          <w:szCs w:val="24"/>
        </w:rPr>
        <w:t xml:space="preserve"> R, </w:t>
      </w:r>
      <w:proofErr w:type="spellStart"/>
      <w:r w:rsidRPr="005B2834">
        <w:rPr>
          <w:color w:val="000000"/>
          <w:sz w:val="24"/>
          <w:szCs w:val="24"/>
        </w:rPr>
        <w:t>van</w:t>
      </w:r>
      <w:proofErr w:type="spellEnd"/>
      <w:r w:rsidRPr="005B2834">
        <w:rPr>
          <w:color w:val="000000"/>
          <w:sz w:val="24"/>
          <w:szCs w:val="24"/>
        </w:rPr>
        <w:t xml:space="preserve"> </w:t>
      </w:r>
      <w:proofErr w:type="spellStart"/>
      <w:r w:rsidRPr="005B2834">
        <w:rPr>
          <w:color w:val="000000"/>
          <w:sz w:val="24"/>
          <w:szCs w:val="24"/>
        </w:rPr>
        <w:t>Oortmarssen</w:t>
      </w:r>
      <w:proofErr w:type="spellEnd"/>
      <w:r w:rsidRPr="005B2834">
        <w:rPr>
          <w:color w:val="000000"/>
          <w:sz w:val="24"/>
          <w:szCs w:val="24"/>
        </w:rPr>
        <w:t xml:space="preserve"> GJ, et al. </w:t>
      </w:r>
      <w:proofErr w:type="spellStart"/>
      <w:r w:rsidRPr="005B2834">
        <w:rPr>
          <w:color w:val="000000"/>
          <w:sz w:val="24"/>
          <w:szCs w:val="24"/>
        </w:rPr>
        <w:t>The</w:t>
      </w:r>
      <w:proofErr w:type="spellEnd"/>
      <w:r w:rsidRPr="005B2834">
        <w:rPr>
          <w:color w:val="000000"/>
          <w:sz w:val="24"/>
          <w:szCs w:val="24"/>
        </w:rPr>
        <w:t xml:space="preserve"> </w:t>
      </w:r>
      <w:proofErr w:type="spellStart"/>
      <w:r w:rsidRPr="005B2834">
        <w:rPr>
          <w:color w:val="000000"/>
          <w:sz w:val="24"/>
          <w:szCs w:val="24"/>
        </w:rPr>
        <w:t>MISCAN-COLON</w:t>
      </w:r>
      <w:proofErr w:type="spellEnd"/>
      <w:r w:rsidRPr="005B2834">
        <w:rPr>
          <w:color w:val="000000"/>
          <w:sz w:val="24"/>
          <w:szCs w:val="24"/>
        </w:rPr>
        <w:t xml:space="preserve"> </w:t>
      </w:r>
      <w:proofErr w:type="spellStart"/>
      <w:r w:rsidRPr="005B2834">
        <w:rPr>
          <w:color w:val="000000"/>
          <w:sz w:val="24"/>
          <w:szCs w:val="24"/>
        </w:rPr>
        <w:t>simulation</w:t>
      </w:r>
      <w:proofErr w:type="spellEnd"/>
      <w:r w:rsidRPr="005B2834">
        <w:rPr>
          <w:color w:val="000000"/>
          <w:sz w:val="24"/>
          <w:szCs w:val="24"/>
        </w:rPr>
        <w:t xml:space="preserve"> </w:t>
      </w:r>
      <w:proofErr w:type="spellStart"/>
      <w:r w:rsidRPr="005B2834">
        <w:rPr>
          <w:color w:val="000000"/>
          <w:sz w:val="24"/>
          <w:szCs w:val="24"/>
        </w:rPr>
        <w:t>model</w:t>
      </w:r>
      <w:proofErr w:type="spellEnd"/>
      <w:r w:rsidRPr="005B2834">
        <w:rPr>
          <w:color w:val="000000"/>
          <w:sz w:val="24"/>
          <w:szCs w:val="24"/>
        </w:rPr>
        <w:t xml:space="preserve"> </w:t>
      </w:r>
      <w:proofErr w:type="spellStart"/>
      <w:r w:rsidRPr="005B2834">
        <w:rPr>
          <w:color w:val="000000"/>
          <w:sz w:val="24"/>
          <w:szCs w:val="24"/>
        </w:rPr>
        <w:t>for</w:t>
      </w:r>
      <w:proofErr w:type="spellEnd"/>
      <w:r w:rsidRPr="005B2834">
        <w:rPr>
          <w:color w:val="000000"/>
          <w:sz w:val="24"/>
          <w:szCs w:val="24"/>
        </w:rPr>
        <w:t xml:space="preserve"> </w:t>
      </w:r>
      <w:proofErr w:type="spellStart"/>
      <w:r w:rsidRPr="005B2834">
        <w:rPr>
          <w:color w:val="000000"/>
          <w:sz w:val="24"/>
          <w:szCs w:val="24"/>
        </w:rPr>
        <w:t>the</w:t>
      </w:r>
      <w:proofErr w:type="spellEnd"/>
      <w:r w:rsidRPr="005B2834">
        <w:rPr>
          <w:color w:val="000000"/>
          <w:sz w:val="24"/>
          <w:szCs w:val="24"/>
        </w:rPr>
        <w:t xml:space="preserve"> </w:t>
      </w:r>
      <w:proofErr w:type="spellStart"/>
      <w:r w:rsidRPr="005B2834">
        <w:rPr>
          <w:color w:val="000000"/>
          <w:sz w:val="24"/>
          <w:szCs w:val="24"/>
        </w:rPr>
        <w:t>evaluation</w:t>
      </w:r>
      <w:proofErr w:type="spellEnd"/>
      <w:r w:rsidRPr="005B2834">
        <w:rPr>
          <w:color w:val="000000"/>
          <w:sz w:val="24"/>
          <w:szCs w:val="24"/>
        </w:rPr>
        <w:t xml:space="preserve"> </w:t>
      </w:r>
      <w:proofErr w:type="spellStart"/>
      <w:r w:rsidRPr="005B2834">
        <w:rPr>
          <w:color w:val="000000"/>
          <w:sz w:val="24"/>
          <w:szCs w:val="24"/>
        </w:rPr>
        <w:t>of</w:t>
      </w:r>
      <w:proofErr w:type="spellEnd"/>
      <w:r w:rsidRPr="005B2834">
        <w:rPr>
          <w:color w:val="000000"/>
          <w:sz w:val="24"/>
          <w:szCs w:val="24"/>
        </w:rPr>
        <w:t xml:space="preserve"> </w:t>
      </w:r>
      <w:proofErr w:type="spellStart"/>
      <w:r w:rsidRPr="005B2834">
        <w:rPr>
          <w:color w:val="000000"/>
          <w:sz w:val="24"/>
          <w:szCs w:val="24"/>
        </w:rPr>
        <w:t>colorectal</w:t>
      </w:r>
      <w:proofErr w:type="spellEnd"/>
      <w:r w:rsidRPr="005B2834">
        <w:rPr>
          <w:color w:val="000000"/>
          <w:sz w:val="24"/>
          <w:szCs w:val="24"/>
        </w:rPr>
        <w:t xml:space="preserve"> </w:t>
      </w:r>
      <w:proofErr w:type="spellStart"/>
      <w:r w:rsidRPr="005B2834">
        <w:rPr>
          <w:color w:val="000000"/>
          <w:sz w:val="24"/>
          <w:szCs w:val="24"/>
        </w:rPr>
        <w:t>cancer</w:t>
      </w:r>
      <w:proofErr w:type="spellEnd"/>
      <w:r w:rsidRPr="005B2834">
        <w:rPr>
          <w:color w:val="000000"/>
          <w:sz w:val="24"/>
          <w:szCs w:val="24"/>
        </w:rPr>
        <w:t xml:space="preserve"> </w:t>
      </w:r>
      <w:proofErr w:type="spellStart"/>
      <w:r w:rsidRPr="005B2834">
        <w:rPr>
          <w:color w:val="000000"/>
          <w:sz w:val="24"/>
          <w:szCs w:val="24"/>
        </w:rPr>
        <w:t>screening</w:t>
      </w:r>
      <w:proofErr w:type="spellEnd"/>
      <w:r w:rsidRPr="005B2834">
        <w:rPr>
          <w:color w:val="000000"/>
          <w:sz w:val="24"/>
          <w:szCs w:val="24"/>
        </w:rPr>
        <w:t xml:space="preserve">. </w:t>
      </w:r>
      <w:proofErr w:type="spellStart"/>
      <w:r w:rsidRPr="005B2834">
        <w:rPr>
          <w:color w:val="000000"/>
          <w:sz w:val="24"/>
          <w:szCs w:val="24"/>
        </w:rPr>
        <w:t>Comput</w:t>
      </w:r>
      <w:proofErr w:type="spellEnd"/>
      <w:r w:rsidRPr="005B2834">
        <w:rPr>
          <w:color w:val="000000"/>
          <w:sz w:val="24"/>
          <w:szCs w:val="24"/>
        </w:rPr>
        <w:t xml:space="preserve"> </w:t>
      </w:r>
      <w:proofErr w:type="spellStart"/>
      <w:r w:rsidRPr="005B2834">
        <w:rPr>
          <w:color w:val="000000"/>
          <w:sz w:val="24"/>
          <w:szCs w:val="24"/>
        </w:rPr>
        <w:t>Biomed</w:t>
      </w:r>
      <w:proofErr w:type="spellEnd"/>
      <w:r w:rsidRPr="005B2834">
        <w:rPr>
          <w:color w:val="000000"/>
          <w:sz w:val="24"/>
          <w:szCs w:val="24"/>
        </w:rPr>
        <w:t xml:space="preserve"> </w:t>
      </w:r>
      <w:proofErr w:type="spellStart"/>
      <w:r w:rsidRPr="005B2834">
        <w:rPr>
          <w:color w:val="000000"/>
          <w:sz w:val="24"/>
          <w:szCs w:val="24"/>
        </w:rPr>
        <w:t>Res</w:t>
      </w:r>
      <w:proofErr w:type="spellEnd"/>
      <w:r w:rsidRPr="005B2834">
        <w:rPr>
          <w:color w:val="000000"/>
          <w:sz w:val="24"/>
          <w:szCs w:val="24"/>
        </w:rPr>
        <w:t xml:space="preserve"> 1999; 32:13e33. </w:t>
      </w:r>
      <w:proofErr w:type="spellStart"/>
      <w:r w:rsidRPr="005B2834">
        <w:rPr>
          <w:color w:val="000000"/>
          <w:sz w:val="24"/>
          <w:szCs w:val="24"/>
        </w:rPr>
        <w:t>Disponible</w:t>
      </w:r>
      <w:proofErr w:type="spellEnd"/>
      <w:r w:rsidRPr="005B2834">
        <w:rPr>
          <w:color w:val="000000"/>
          <w:sz w:val="24"/>
          <w:szCs w:val="24"/>
        </w:rPr>
        <w:t xml:space="preserve"> </w:t>
      </w:r>
      <w:proofErr w:type="spellStart"/>
      <w:r w:rsidRPr="005B2834">
        <w:rPr>
          <w:color w:val="000000"/>
          <w:sz w:val="24"/>
          <w:szCs w:val="24"/>
        </w:rPr>
        <w:t>en</w:t>
      </w:r>
      <w:proofErr w:type="spellEnd"/>
      <w:r w:rsidRPr="005B2834">
        <w:rPr>
          <w:color w:val="000000"/>
          <w:sz w:val="24"/>
          <w:szCs w:val="24"/>
        </w:rPr>
        <w:t xml:space="preserve">: </w:t>
      </w:r>
      <w:hyperlink r:id="rId17" w:history="1">
        <w:r w:rsidRPr="005B2834">
          <w:rPr>
            <w:rStyle w:val="Hipervnculo"/>
            <w:sz w:val="24"/>
            <w:szCs w:val="24"/>
          </w:rPr>
          <w:t>http://www.osakidetza.euskadi.eus/contenidos/informacion/deteccion_cancer_colorrectal/es_def/adjuntos/PROGRAMA2017.pdf</w:t>
        </w:r>
      </w:hyperlink>
    </w:p>
    <w:p w:rsidR="009132CD" w:rsidRPr="00AB335D" w:rsidRDefault="0039094E" w:rsidP="0044148A">
      <w:pPr>
        <w:pStyle w:val="Prrafodelista"/>
        <w:numPr>
          <w:ilvl w:val="0"/>
          <w:numId w:val="7"/>
        </w:numPr>
        <w:spacing w:before="100" w:beforeAutospacing="1" w:after="100" w:afterAutospacing="1"/>
        <w:jc w:val="both"/>
        <w:rPr>
          <w:rFonts w:cstheme="minorHAnsi"/>
          <w:sz w:val="24"/>
          <w:szCs w:val="24"/>
        </w:rPr>
      </w:pPr>
      <w:proofErr w:type="spellStart"/>
      <w:r w:rsidRPr="005B2834">
        <w:rPr>
          <w:sz w:val="24"/>
          <w:szCs w:val="24"/>
        </w:rPr>
        <w:t>Red</w:t>
      </w:r>
      <w:proofErr w:type="spellEnd"/>
      <w:r w:rsidRPr="005B2834">
        <w:rPr>
          <w:sz w:val="24"/>
          <w:szCs w:val="24"/>
        </w:rPr>
        <w:t xml:space="preserve"> de </w:t>
      </w:r>
      <w:proofErr w:type="spellStart"/>
      <w:r w:rsidRPr="005B2834">
        <w:rPr>
          <w:sz w:val="24"/>
          <w:szCs w:val="24"/>
        </w:rPr>
        <w:t>Programas</w:t>
      </w:r>
      <w:proofErr w:type="spellEnd"/>
      <w:r w:rsidRPr="005B2834">
        <w:rPr>
          <w:sz w:val="24"/>
          <w:szCs w:val="24"/>
        </w:rPr>
        <w:t xml:space="preserve"> de </w:t>
      </w:r>
      <w:proofErr w:type="spellStart"/>
      <w:r w:rsidRPr="005B2834">
        <w:rPr>
          <w:sz w:val="24"/>
          <w:szCs w:val="24"/>
        </w:rPr>
        <w:t>Cribado</w:t>
      </w:r>
      <w:proofErr w:type="spellEnd"/>
      <w:r w:rsidRPr="005B2834">
        <w:rPr>
          <w:sz w:val="24"/>
          <w:szCs w:val="24"/>
        </w:rPr>
        <w:t xml:space="preserve"> de </w:t>
      </w:r>
      <w:proofErr w:type="spellStart"/>
      <w:r w:rsidRPr="005B2834">
        <w:rPr>
          <w:sz w:val="24"/>
          <w:szCs w:val="24"/>
        </w:rPr>
        <w:t>Cáncer</w:t>
      </w:r>
      <w:proofErr w:type="spellEnd"/>
      <w:r w:rsidRPr="005B2834">
        <w:rPr>
          <w:sz w:val="24"/>
          <w:szCs w:val="24"/>
        </w:rPr>
        <w:t xml:space="preserve">. </w:t>
      </w:r>
      <w:proofErr w:type="spellStart"/>
      <w:r w:rsidRPr="005B2834">
        <w:rPr>
          <w:sz w:val="24"/>
          <w:szCs w:val="24"/>
        </w:rPr>
        <w:t>Disponible</w:t>
      </w:r>
      <w:proofErr w:type="spellEnd"/>
      <w:r w:rsidRPr="005B2834">
        <w:rPr>
          <w:sz w:val="24"/>
          <w:szCs w:val="24"/>
        </w:rPr>
        <w:t xml:space="preserve"> </w:t>
      </w:r>
      <w:proofErr w:type="spellStart"/>
      <w:r w:rsidRPr="005B2834">
        <w:rPr>
          <w:sz w:val="24"/>
          <w:szCs w:val="24"/>
        </w:rPr>
        <w:t>en</w:t>
      </w:r>
      <w:proofErr w:type="spellEnd"/>
      <w:r w:rsidRPr="005B2834">
        <w:rPr>
          <w:sz w:val="24"/>
          <w:szCs w:val="24"/>
        </w:rPr>
        <w:t xml:space="preserve"> : </w:t>
      </w:r>
      <w:hyperlink r:id="rId18" w:history="1">
        <w:r w:rsidRPr="005B2834">
          <w:rPr>
            <w:rStyle w:val="Hipervnculo"/>
            <w:sz w:val="24"/>
            <w:szCs w:val="24"/>
          </w:rPr>
          <w:t>http://www.cribadocance</w:t>
        </w:r>
        <w:r w:rsidRPr="00AB335D">
          <w:rPr>
            <w:rStyle w:val="Hipervnculo"/>
            <w:sz w:val="24"/>
            <w:szCs w:val="24"/>
            <w:lang w:val="en-US"/>
          </w:rPr>
          <w:t>r.es/</w:t>
        </w:r>
        <w:proofErr w:type="spellStart"/>
        <w:r w:rsidRPr="00AB335D">
          <w:rPr>
            <w:rStyle w:val="Hipervnculo"/>
            <w:sz w:val="24"/>
            <w:szCs w:val="24"/>
            <w:lang w:val="en-US"/>
          </w:rPr>
          <w:t>index.php</w:t>
        </w:r>
        <w:proofErr w:type="spellEnd"/>
        <w:r w:rsidRPr="00AB335D">
          <w:rPr>
            <w:rStyle w:val="Hipervnculo"/>
            <w:sz w:val="24"/>
            <w:szCs w:val="24"/>
            <w:lang w:val="en-US"/>
          </w:rPr>
          <w:t>/cancer-</w:t>
        </w:r>
        <w:proofErr w:type="spellStart"/>
        <w:r w:rsidRPr="00AB335D">
          <w:rPr>
            <w:rStyle w:val="Hipervnculo"/>
            <w:sz w:val="24"/>
            <w:szCs w:val="24"/>
            <w:lang w:val="en-US"/>
          </w:rPr>
          <w:t>colorrectal</w:t>
        </w:r>
        <w:proofErr w:type="spellEnd"/>
      </w:hyperlink>
    </w:p>
    <w:p w:rsidR="0039094E" w:rsidRPr="00AB335D" w:rsidRDefault="00686B39" w:rsidP="0044148A">
      <w:pPr>
        <w:pStyle w:val="Prrafodelista"/>
        <w:numPr>
          <w:ilvl w:val="0"/>
          <w:numId w:val="7"/>
        </w:numPr>
        <w:spacing w:before="100" w:beforeAutospacing="1" w:after="100" w:afterAutospacing="1"/>
        <w:jc w:val="both"/>
        <w:rPr>
          <w:rFonts w:cstheme="minorHAnsi"/>
          <w:sz w:val="24"/>
          <w:szCs w:val="24"/>
        </w:rPr>
      </w:pPr>
      <w:r w:rsidRPr="00AB335D">
        <w:rPr>
          <w:sz w:val="24"/>
          <w:szCs w:val="24"/>
          <w:lang w:val="en-US"/>
        </w:rPr>
        <w:t>American Joint Committee on Cancer (AJCC). American Cancer Society. 7</w:t>
      </w:r>
      <w:r w:rsidRPr="00AB335D">
        <w:rPr>
          <w:sz w:val="24"/>
          <w:szCs w:val="24"/>
          <w:vertAlign w:val="superscript"/>
          <w:lang w:val="en-US"/>
        </w:rPr>
        <w:t>th</w:t>
      </w:r>
      <w:r w:rsidRPr="00AB335D">
        <w:rPr>
          <w:sz w:val="24"/>
          <w:szCs w:val="24"/>
          <w:lang w:val="en-US"/>
        </w:rPr>
        <w:t xml:space="preserve"> Edition. 2009. </w:t>
      </w:r>
      <w:proofErr w:type="spellStart"/>
      <w:r w:rsidRPr="00AB335D">
        <w:rPr>
          <w:sz w:val="24"/>
          <w:szCs w:val="24"/>
          <w:lang w:val="en-US"/>
        </w:rPr>
        <w:t>Disponible</w:t>
      </w:r>
      <w:proofErr w:type="spellEnd"/>
      <w:r w:rsidRPr="00AB335D">
        <w:rPr>
          <w:sz w:val="24"/>
          <w:szCs w:val="24"/>
          <w:lang w:val="en-US"/>
        </w:rPr>
        <w:t xml:space="preserve"> </w:t>
      </w:r>
      <w:proofErr w:type="spellStart"/>
      <w:r w:rsidRPr="00AB335D">
        <w:rPr>
          <w:sz w:val="24"/>
          <w:szCs w:val="24"/>
          <w:lang w:val="en-US"/>
        </w:rPr>
        <w:t>en</w:t>
      </w:r>
      <w:proofErr w:type="spellEnd"/>
      <w:r w:rsidRPr="00AB335D">
        <w:rPr>
          <w:sz w:val="24"/>
          <w:szCs w:val="24"/>
          <w:lang w:val="en-US"/>
        </w:rPr>
        <w:t xml:space="preserve">: </w:t>
      </w:r>
      <w:hyperlink r:id="rId19" w:history="1">
        <w:r w:rsidRPr="00AB335D">
          <w:rPr>
            <w:rStyle w:val="Hipervnculo"/>
            <w:sz w:val="24"/>
            <w:szCs w:val="24"/>
            <w:lang w:val="en-US"/>
          </w:rPr>
          <w:t>https://cancerstaging.org/references-tools/quickreferences/Documents/ColonMedium.pdf</w:t>
        </w:r>
      </w:hyperlink>
      <w:r w:rsidRPr="00AB335D">
        <w:rPr>
          <w:sz w:val="24"/>
          <w:szCs w:val="24"/>
          <w:lang w:val="en-US"/>
        </w:rPr>
        <w:t>.</w:t>
      </w:r>
    </w:p>
    <w:p w:rsidR="00022B51" w:rsidRPr="00AB335D" w:rsidRDefault="00022B51" w:rsidP="0044148A">
      <w:pPr>
        <w:pStyle w:val="Prrafodelista"/>
        <w:numPr>
          <w:ilvl w:val="0"/>
          <w:numId w:val="7"/>
        </w:numPr>
        <w:spacing w:before="100" w:beforeAutospacing="1" w:after="100" w:afterAutospacing="1"/>
        <w:jc w:val="both"/>
        <w:rPr>
          <w:rFonts w:cstheme="minorHAnsi"/>
          <w:sz w:val="24"/>
          <w:szCs w:val="24"/>
        </w:rPr>
      </w:pPr>
      <w:r w:rsidRPr="00AB335D">
        <w:rPr>
          <w:sz w:val="24"/>
          <w:szCs w:val="24"/>
          <w:lang w:val="de-DE"/>
        </w:rPr>
        <w:t xml:space="preserve">Albreht T, Kiasuwa R, Van den Bulcke (eds). </w:t>
      </w:r>
      <w:r w:rsidRPr="00AB335D">
        <w:rPr>
          <w:sz w:val="24"/>
          <w:szCs w:val="24"/>
          <w:lang w:val="en-US"/>
        </w:rPr>
        <w:t xml:space="preserve">EUROPEAN guide on quality improvement in comprehensive cancer control. Cancer Control Joint Action. National Institute of Public Health (Slovenia) </w:t>
      </w:r>
      <w:proofErr w:type="gramStart"/>
      <w:r w:rsidRPr="00AB335D">
        <w:rPr>
          <w:sz w:val="24"/>
          <w:szCs w:val="24"/>
          <w:lang w:val="en-US"/>
        </w:rPr>
        <w:t>and  Scientific</w:t>
      </w:r>
      <w:proofErr w:type="gramEnd"/>
      <w:r w:rsidRPr="00AB335D">
        <w:rPr>
          <w:sz w:val="24"/>
          <w:szCs w:val="24"/>
          <w:lang w:val="en-US"/>
        </w:rPr>
        <w:t xml:space="preserve"> Institute of Public Health (Brussels), 2017. 164 </w:t>
      </w:r>
      <w:proofErr w:type="spellStart"/>
      <w:r w:rsidRPr="00AB335D">
        <w:rPr>
          <w:sz w:val="24"/>
          <w:szCs w:val="24"/>
          <w:lang w:val="en-US"/>
        </w:rPr>
        <w:t>pg</w:t>
      </w:r>
      <w:proofErr w:type="spellEnd"/>
    </w:p>
    <w:p w:rsidR="000B179C" w:rsidRPr="00AB335D" w:rsidRDefault="007D4EFE" w:rsidP="0044148A">
      <w:pPr>
        <w:pStyle w:val="Prrafodelista"/>
        <w:numPr>
          <w:ilvl w:val="0"/>
          <w:numId w:val="7"/>
        </w:numPr>
        <w:spacing w:before="100" w:beforeAutospacing="1" w:after="100" w:afterAutospacing="1"/>
        <w:jc w:val="both"/>
        <w:rPr>
          <w:rFonts w:cstheme="minorHAnsi"/>
          <w:sz w:val="24"/>
          <w:szCs w:val="24"/>
        </w:rPr>
      </w:pPr>
      <w:r w:rsidRPr="00AB335D">
        <w:rPr>
          <w:sz w:val="24"/>
          <w:szCs w:val="24"/>
          <w:lang w:val="en-US"/>
        </w:rPr>
        <w:t xml:space="preserve">European Commission. Screening Group. International Agency for Research on Cancer.  Cancer Screening in the European Union (2017). Report on the implementation of the Council Recommendation on cancer screening. </w:t>
      </w:r>
      <w:r w:rsidRPr="00AB335D">
        <w:rPr>
          <w:sz w:val="24"/>
          <w:szCs w:val="24"/>
          <w:lang w:val="fr-FR"/>
        </w:rPr>
        <w:t xml:space="preserve">Lyon 2017. Disponible en: </w:t>
      </w:r>
      <w:hyperlink r:id="rId20" w:history="1">
        <w:r w:rsidRPr="00AB335D">
          <w:rPr>
            <w:rStyle w:val="Hipervnculo"/>
            <w:sz w:val="24"/>
            <w:szCs w:val="24"/>
            <w:lang w:val="fr-FR"/>
          </w:rPr>
          <w:t>https://ec.europa.eu/health/sites/health/files/major_chronic_diseases/docs/2017_cancerscreening_2ndreportimplementation_en.pdf</w:t>
        </w:r>
      </w:hyperlink>
    </w:p>
    <w:p w:rsidR="00001AF8" w:rsidRPr="00AB335D" w:rsidRDefault="00721981" w:rsidP="0044148A">
      <w:pPr>
        <w:pStyle w:val="Prrafodelista"/>
        <w:numPr>
          <w:ilvl w:val="0"/>
          <w:numId w:val="7"/>
        </w:numPr>
        <w:spacing w:before="100" w:beforeAutospacing="1" w:after="100" w:afterAutospacing="1"/>
        <w:jc w:val="both"/>
        <w:rPr>
          <w:rFonts w:cstheme="minorHAnsi"/>
          <w:sz w:val="24"/>
          <w:szCs w:val="24"/>
        </w:rPr>
      </w:pPr>
      <w:r w:rsidRPr="00AB335D">
        <w:rPr>
          <w:sz w:val="24"/>
          <w:szCs w:val="24"/>
          <w:lang w:val="en-US"/>
        </w:rPr>
        <w:t xml:space="preserve">Clarke N, Sharp L, Osborne A, Kearney PM. Comparison of uptake of colorectal cancer screening based on fecal immunochemical testing (FIT) in males and females: a systematic review and meta-analysis. Cancer </w:t>
      </w:r>
      <w:proofErr w:type="spellStart"/>
      <w:r w:rsidRPr="00AB335D">
        <w:rPr>
          <w:sz w:val="24"/>
          <w:szCs w:val="24"/>
          <w:lang w:val="en-US"/>
        </w:rPr>
        <w:t>Epidemiol</w:t>
      </w:r>
      <w:proofErr w:type="spellEnd"/>
      <w:r w:rsidRPr="00AB335D">
        <w:rPr>
          <w:sz w:val="24"/>
          <w:szCs w:val="24"/>
          <w:lang w:val="en-US"/>
        </w:rPr>
        <w:t xml:space="preserve"> Biomarkers </w:t>
      </w:r>
      <w:proofErr w:type="spellStart"/>
      <w:r w:rsidRPr="00AB335D">
        <w:rPr>
          <w:sz w:val="24"/>
          <w:szCs w:val="24"/>
          <w:lang w:val="en-US"/>
        </w:rPr>
        <w:t>Prev</w:t>
      </w:r>
      <w:proofErr w:type="spellEnd"/>
      <w:r w:rsidRPr="00AB335D">
        <w:rPr>
          <w:sz w:val="24"/>
          <w:szCs w:val="24"/>
          <w:lang w:val="en-US"/>
        </w:rPr>
        <w:t xml:space="preserve"> 2015</w:t>
      </w:r>
      <w:proofErr w:type="gramStart"/>
      <w:r w:rsidRPr="00AB335D">
        <w:rPr>
          <w:sz w:val="24"/>
          <w:szCs w:val="24"/>
          <w:lang w:val="en-US"/>
        </w:rPr>
        <w:t>;24:39</w:t>
      </w:r>
      <w:proofErr w:type="gramEnd"/>
      <w:r w:rsidRPr="00AB335D">
        <w:rPr>
          <w:sz w:val="24"/>
          <w:szCs w:val="24"/>
          <w:lang w:val="en-US"/>
        </w:rPr>
        <w:t>–47.</w:t>
      </w:r>
    </w:p>
    <w:p w:rsidR="00B80379" w:rsidRPr="00AB335D" w:rsidRDefault="00B80379" w:rsidP="0044148A">
      <w:pPr>
        <w:pStyle w:val="Prrafodelista"/>
        <w:numPr>
          <w:ilvl w:val="0"/>
          <w:numId w:val="7"/>
        </w:numPr>
        <w:spacing w:before="100" w:beforeAutospacing="1" w:after="100" w:afterAutospacing="1"/>
        <w:jc w:val="both"/>
        <w:rPr>
          <w:rFonts w:cstheme="minorHAnsi"/>
          <w:sz w:val="24"/>
          <w:szCs w:val="24"/>
        </w:rPr>
      </w:pPr>
      <w:r w:rsidRPr="00AB335D">
        <w:rPr>
          <w:sz w:val="24"/>
          <w:szCs w:val="24"/>
        </w:rPr>
        <w:t xml:space="preserve">Portillo I,  </w:t>
      </w:r>
      <w:proofErr w:type="spellStart"/>
      <w:r w:rsidRPr="00AB335D">
        <w:rPr>
          <w:sz w:val="24"/>
          <w:szCs w:val="24"/>
        </w:rPr>
        <w:t>Arana-Arri</w:t>
      </w:r>
      <w:proofErr w:type="spellEnd"/>
      <w:r w:rsidRPr="00AB335D">
        <w:rPr>
          <w:sz w:val="24"/>
          <w:szCs w:val="24"/>
        </w:rPr>
        <w:t xml:space="preserve"> E, Idigoras I, </w:t>
      </w:r>
      <w:proofErr w:type="spellStart"/>
      <w:r w:rsidRPr="00AB335D">
        <w:rPr>
          <w:sz w:val="24"/>
          <w:szCs w:val="24"/>
        </w:rPr>
        <w:t>Espinás</w:t>
      </w:r>
      <w:proofErr w:type="spellEnd"/>
      <w:r w:rsidRPr="00AB335D">
        <w:rPr>
          <w:sz w:val="24"/>
          <w:szCs w:val="24"/>
        </w:rPr>
        <w:t xml:space="preserve"> JA, </w:t>
      </w:r>
      <w:proofErr w:type="spellStart"/>
      <w:r w:rsidRPr="00AB335D">
        <w:rPr>
          <w:sz w:val="24"/>
          <w:szCs w:val="24"/>
        </w:rPr>
        <w:t>Pérez-Riquelme</w:t>
      </w:r>
      <w:proofErr w:type="spellEnd"/>
      <w:r w:rsidRPr="00AB335D">
        <w:rPr>
          <w:sz w:val="24"/>
          <w:szCs w:val="24"/>
        </w:rPr>
        <w:t xml:space="preserve"> F, de la Vega M, D y </w:t>
      </w:r>
      <w:proofErr w:type="spellStart"/>
      <w:r w:rsidRPr="00AB335D">
        <w:rPr>
          <w:sz w:val="24"/>
          <w:szCs w:val="24"/>
        </w:rPr>
        <w:t>Grupo</w:t>
      </w:r>
      <w:proofErr w:type="spellEnd"/>
      <w:r w:rsidRPr="00AB335D">
        <w:rPr>
          <w:sz w:val="24"/>
          <w:szCs w:val="24"/>
        </w:rPr>
        <w:t xml:space="preserve"> </w:t>
      </w:r>
      <w:proofErr w:type="spellStart"/>
      <w:r w:rsidRPr="00AB335D">
        <w:rPr>
          <w:sz w:val="24"/>
          <w:szCs w:val="24"/>
        </w:rPr>
        <w:t>Cribea</w:t>
      </w:r>
      <w:proofErr w:type="spellEnd"/>
      <w:r w:rsidRPr="00AB335D">
        <w:rPr>
          <w:sz w:val="24"/>
          <w:szCs w:val="24"/>
        </w:rPr>
        <w:t xml:space="preserve">. </w:t>
      </w:r>
      <w:proofErr w:type="spellStart"/>
      <w:r w:rsidRPr="00AB335D">
        <w:rPr>
          <w:sz w:val="24"/>
          <w:szCs w:val="24"/>
        </w:rPr>
        <w:t>Proyecto</w:t>
      </w:r>
      <w:proofErr w:type="spellEnd"/>
      <w:r w:rsidRPr="00AB335D">
        <w:rPr>
          <w:sz w:val="24"/>
          <w:szCs w:val="24"/>
        </w:rPr>
        <w:t xml:space="preserve"> CRIBEA: </w:t>
      </w:r>
      <w:proofErr w:type="spellStart"/>
      <w:r w:rsidRPr="00AB335D">
        <w:rPr>
          <w:sz w:val="24"/>
          <w:szCs w:val="24"/>
        </w:rPr>
        <w:t>Lesiones</w:t>
      </w:r>
      <w:proofErr w:type="spellEnd"/>
      <w:r w:rsidRPr="00AB335D">
        <w:rPr>
          <w:sz w:val="24"/>
          <w:szCs w:val="24"/>
        </w:rPr>
        <w:t xml:space="preserve"> </w:t>
      </w:r>
      <w:proofErr w:type="spellStart"/>
      <w:r w:rsidRPr="00AB335D">
        <w:rPr>
          <w:sz w:val="24"/>
          <w:szCs w:val="24"/>
        </w:rPr>
        <w:t>detectadas</w:t>
      </w:r>
      <w:proofErr w:type="spellEnd"/>
      <w:r w:rsidRPr="00AB335D">
        <w:rPr>
          <w:sz w:val="24"/>
          <w:szCs w:val="24"/>
        </w:rPr>
        <w:t xml:space="preserve"> </w:t>
      </w:r>
      <w:proofErr w:type="spellStart"/>
      <w:r w:rsidRPr="00AB335D">
        <w:rPr>
          <w:sz w:val="24"/>
          <w:szCs w:val="24"/>
        </w:rPr>
        <w:t>en</w:t>
      </w:r>
      <w:proofErr w:type="spellEnd"/>
      <w:r w:rsidRPr="00AB335D">
        <w:rPr>
          <w:sz w:val="24"/>
          <w:szCs w:val="24"/>
        </w:rPr>
        <w:t xml:space="preserve">  </w:t>
      </w:r>
      <w:proofErr w:type="spellStart"/>
      <w:r w:rsidRPr="00AB335D">
        <w:rPr>
          <w:sz w:val="24"/>
          <w:szCs w:val="24"/>
        </w:rPr>
        <w:t>seis</w:t>
      </w:r>
      <w:proofErr w:type="spellEnd"/>
      <w:r w:rsidRPr="00AB335D">
        <w:rPr>
          <w:sz w:val="24"/>
          <w:szCs w:val="24"/>
        </w:rPr>
        <w:t xml:space="preserve"> </w:t>
      </w:r>
      <w:proofErr w:type="spellStart"/>
      <w:r w:rsidRPr="00AB335D">
        <w:rPr>
          <w:sz w:val="24"/>
          <w:szCs w:val="24"/>
        </w:rPr>
        <w:t>Programas</w:t>
      </w:r>
      <w:proofErr w:type="spellEnd"/>
      <w:r w:rsidRPr="00AB335D">
        <w:rPr>
          <w:sz w:val="24"/>
          <w:szCs w:val="24"/>
        </w:rPr>
        <w:t xml:space="preserve"> </w:t>
      </w:r>
      <w:proofErr w:type="spellStart"/>
      <w:r w:rsidRPr="00AB335D">
        <w:rPr>
          <w:sz w:val="24"/>
          <w:szCs w:val="24"/>
        </w:rPr>
        <w:t>Poblacionales</w:t>
      </w:r>
      <w:proofErr w:type="spellEnd"/>
      <w:r w:rsidRPr="00AB335D">
        <w:rPr>
          <w:sz w:val="24"/>
          <w:szCs w:val="24"/>
        </w:rPr>
        <w:t xml:space="preserve"> de </w:t>
      </w:r>
      <w:proofErr w:type="spellStart"/>
      <w:r w:rsidRPr="00AB335D">
        <w:rPr>
          <w:sz w:val="24"/>
          <w:szCs w:val="24"/>
        </w:rPr>
        <w:t>Cribado</w:t>
      </w:r>
      <w:proofErr w:type="spellEnd"/>
      <w:r w:rsidRPr="00AB335D">
        <w:rPr>
          <w:sz w:val="24"/>
          <w:szCs w:val="24"/>
        </w:rPr>
        <w:t xml:space="preserve"> de </w:t>
      </w:r>
      <w:proofErr w:type="spellStart"/>
      <w:r w:rsidRPr="00AB335D">
        <w:rPr>
          <w:sz w:val="24"/>
          <w:szCs w:val="24"/>
        </w:rPr>
        <w:t>Cáncer</w:t>
      </w:r>
      <w:proofErr w:type="spellEnd"/>
      <w:r w:rsidRPr="00AB335D">
        <w:rPr>
          <w:sz w:val="24"/>
          <w:szCs w:val="24"/>
        </w:rPr>
        <w:t xml:space="preserve"> </w:t>
      </w:r>
      <w:proofErr w:type="spellStart"/>
      <w:r w:rsidRPr="00AB335D">
        <w:rPr>
          <w:sz w:val="24"/>
          <w:szCs w:val="24"/>
        </w:rPr>
        <w:t>Colorrectal</w:t>
      </w:r>
      <w:proofErr w:type="spellEnd"/>
      <w:r w:rsidRPr="00AB335D">
        <w:rPr>
          <w:sz w:val="24"/>
          <w:szCs w:val="24"/>
        </w:rPr>
        <w:t xml:space="preserve"> </w:t>
      </w:r>
      <w:proofErr w:type="spellStart"/>
      <w:r w:rsidRPr="00AB335D">
        <w:rPr>
          <w:sz w:val="24"/>
          <w:szCs w:val="24"/>
        </w:rPr>
        <w:t>en</w:t>
      </w:r>
      <w:proofErr w:type="spellEnd"/>
      <w:r w:rsidRPr="00AB335D">
        <w:rPr>
          <w:sz w:val="24"/>
          <w:szCs w:val="24"/>
        </w:rPr>
        <w:t xml:space="preserve"> España. </w:t>
      </w:r>
      <w:r w:rsidRPr="00AB335D">
        <w:rPr>
          <w:sz w:val="24"/>
          <w:szCs w:val="24"/>
          <w:lang w:val="en-US"/>
        </w:rPr>
        <w:t xml:space="preserve">Rev </w:t>
      </w:r>
      <w:proofErr w:type="spellStart"/>
      <w:proofErr w:type="gramStart"/>
      <w:r w:rsidRPr="00AB335D">
        <w:rPr>
          <w:sz w:val="24"/>
          <w:szCs w:val="24"/>
          <w:lang w:val="en-US"/>
        </w:rPr>
        <w:t>Esp</w:t>
      </w:r>
      <w:proofErr w:type="spellEnd"/>
      <w:proofErr w:type="gramEnd"/>
      <w:r w:rsidRPr="00AB335D">
        <w:rPr>
          <w:sz w:val="24"/>
          <w:szCs w:val="24"/>
          <w:lang w:val="en-US"/>
        </w:rPr>
        <w:t xml:space="preserve"> </w:t>
      </w:r>
      <w:proofErr w:type="spellStart"/>
      <w:r w:rsidRPr="00AB335D">
        <w:rPr>
          <w:sz w:val="24"/>
          <w:szCs w:val="24"/>
          <w:lang w:val="en-US"/>
        </w:rPr>
        <w:t>Salud</w:t>
      </w:r>
      <w:proofErr w:type="spellEnd"/>
      <w:r w:rsidRPr="00AB335D">
        <w:rPr>
          <w:sz w:val="24"/>
          <w:szCs w:val="24"/>
          <w:lang w:val="en-US"/>
        </w:rPr>
        <w:t xml:space="preserve"> </w:t>
      </w:r>
      <w:proofErr w:type="spellStart"/>
      <w:r w:rsidRPr="00AB335D">
        <w:rPr>
          <w:sz w:val="24"/>
          <w:szCs w:val="24"/>
          <w:lang w:val="en-US"/>
        </w:rPr>
        <w:t>Pública</w:t>
      </w:r>
      <w:proofErr w:type="spellEnd"/>
      <w:r w:rsidRPr="00AB335D">
        <w:rPr>
          <w:sz w:val="24"/>
          <w:szCs w:val="24"/>
          <w:lang w:val="en-US"/>
        </w:rPr>
        <w:t xml:space="preserve"> 2017; 91; 20 </w:t>
      </w:r>
      <w:proofErr w:type="spellStart"/>
      <w:r w:rsidRPr="00AB335D">
        <w:rPr>
          <w:sz w:val="24"/>
          <w:szCs w:val="24"/>
          <w:lang w:val="en-US"/>
        </w:rPr>
        <w:t>Febrero</w:t>
      </w:r>
      <w:proofErr w:type="spellEnd"/>
      <w:r w:rsidRPr="00AB335D">
        <w:rPr>
          <w:sz w:val="24"/>
          <w:szCs w:val="24"/>
          <w:lang w:val="en-US"/>
        </w:rPr>
        <w:t xml:space="preserve"> e1-e10.</w:t>
      </w:r>
    </w:p>
    <w:p w:rsidR="00B364E8" w:rsidRPr="00AB335D" w:rsidRDefault="00B364E8" w:rsidP="0044148A">
      <w:pPr>
        <w:pStyle w:val="Prrafodelista"/>
        <w:widowControl w:val="0"/>
        <w:numPr>
          <w:ilvl w:val="0"/>
          <w:numId w:val="7"/>
        </w:numPr>
        <w:autoSpaceDE w:val="0"/>
        <w:autoSpaceDN w:val="0"/>
        <w:adjustRightInd w:val="0"/>
        <w:spacing w:before="120" w:line="240" w:lineRule="auto"/>
        <w:contextualSpacing w:val="0"/>
        <w:jc w:val="both"/>
        <w:rPr>
          <w:rFonts w:cstheme="minorHAnsi"/>
          <w:sz w:val="24"/>
          <w:szCs w:val="24"/>
        </w:rPr>
      </w:pPr>
      <w:r w:rsidRPr="00AB335D">
        <w:rPr>
          <w:sz w:val="24"/>
          <w:szCs w:val="24"/>
          <w:lang w:val="it-IT"/>
        </w:rPr>
        <w:t xml:space="preserve">Camilloni L, Ferroni E, Cendales BJ, Pezzarossi A, Furnani G y cols. </w:t>
      </w:r>
      <w:r w:rsidRPr="00AB335D">
        <w:rPr>
          <w:sz w:val="24"/>
          <w:szCs w:val="24"/>
          <w:lang w:val="en-US"/>
        </w:rPr>
        <w:t xml:space="preserve">Methods to increase participation in </w:t>
      </w:r>
      <w:proofErr w:type="spellStart"/>
      <w:r w:rsidRPr="00AB335D">
        <w:rPr>
          <w:sz w:val="24"/>
          <w:szCs w:val="24"/>
          <w:lang w:val="en-US"/>
        </w:rPr>
        <w:t>organised</w:t>
      </w:r>
      <w:proofErr w:type="spellEnd"/>
      <w:r w:rsidRPr="00AB335D">
        <w:rPr>
          <w:sz w:val="24"/>
          <w:szCs w:val="24"/>
          <w:lang w:val="en-US"/>
        </w:rPr>
        <w:t xml:space="preserve"> screening programs: a systematic review. BMC Public Health 2013</w:t>
      </w:r>
      <w:proofErr w:type="gramStart"/>
      <w:r w:rsidRPr="00AB335D">
        <w:rPr>
          <w:sz w:val="24"/>
          <w:szCs w:val="24"/>
          <w:lang w:val="en-US"/>
        </w:rPr>
        <w:t>;13:464</w:t>
      </w:r>
      <w:proofErr w:type="gramEnd"/>
      <w:r w:rsidRPr="00AB335D">
        <w:rPr>
          <w:sz w:val="24"/>
          <w:szCs w:val="24"/>
          <w:lang w:val="en-US"/>
        </w:rPr>
        <w:t>.</w:t>
      </w:r>
    </w:p>
    <w:p w:rsidR="00B364E8" w:rsidRPr="00AB335D" w:rsidRDefault="00B364E8" w:rsidP="0044148A">
      <w:pPr>
        <w:pStyle w:val="Prrafodelista"/>
        <w:widowControl w:val="0"/>
        <w:numPr>
          <w:ilvl w:val="0"/>
          <w:numId w:val="7"/>
        </w:numPr>
        <w:autoSpaceDE w:val="0"/>
        <w:autoSpaceDN w:val="0"/>
        <w:adjustRightInd w:val="0"/>
        <w:spacing w:before="120" w:line="240" w:lineRule="auto"/>
        <w:contextualSpacing w:val="0"/>
        <w:jc w:val="both"/>
        <w:rPr>
          <w:rFonts w:cstheme="minorHAnsi"/>
          <w:sz w:val="24"/>
          <w:szCs w:val="24"/>
        </w:rPr>
      </w:pPr>
      <w:r w:rsidRPr="00AB335D">
        <w:rPr>
          <w:sz w:val="24"/>
          <w:szCs w:val="24"/>
          <w:lang w:val="it-IT"/>
        </w:rPr>
        <w:t xml:space="preserve">Giorgi Rossi P, Grazzini G, Anti M, Baiocchi D, Barca A y cols. </w:t>
      </w:r>
      <w:r w:rsidRPr="00AB335D">
        <w:rPr>
          <w:sz w:val="24"/>
          <w:szCs w:val="24"/>
          <w:lang w:val="en-US"/>
        </w:rPr>
        <w:t xml:space="preserve">Direct mailing of </w:t>
      </w:r>
      <w:proofErr w:type="spellStart"/>
      <w:r w:rsidRPr="00AB335D">
        <w:rPr>
          <w:sz w:val="24"/>
          <w:szCs w:val="24"/>
          <w:lang w:val="en-US"/>
        </w:rPr>
        <w:t>faecal</w:t>
      </w:r>
      <w:proofErr w:type="spellEnd"/>
      <w:r w:rsidRPr="00AB335D">
        <w:rPr>
          <w:sz w:val="24"/>
          <w:szCs w:val="24"/>
          <w:lang w:val="en-US"/>
        </w:rPr>
        <w:t xml:space="preserve"> occult blood tests for colorectal cancer screening: a randomized population study from Central Italy. J Med Screen 2011</w:t>
      </w:r>
      <w:proofErr w:type="gramStart"/>
      <w:r w:rsidRPr="00AB335D">
        <w:rPr>
          <w:sz w:val="24"/>
          <w:szCs w:val="24"/>
          <w:lang w:val="en-US"/>
        </w:rPr>
        <w:t>;18:121</w:t>
      </w:r>
      <w:proofErr w:type="gramEnd"/>
      <w:r w:rsidRPr="00AB335D">
        <w:rPr>
          <w:sz w:val="24"/>
          <w:szCs w:val="24"/>
          <w:lang w:val="en-US"/>
        </w:rPr>
        <w:t>–127.</w:t>
      </w:r>
    </w:p>
    <w:p w:rsidR="00B364E8" w:rsidRPr="00AB335D" w:rsidRDefault="00B364E8" w:rsidP="0044148A">
      <w:pPr>
        <w:pStyle w:val="Prrafodelista"/>
        <w:numPr>
          <w:ilvl w:val="0"/>
          <w:numId w:val="7"/>
        </w:numPr>
        <w:spacing w:before="100" w:beforeAutospacing="1" w:after="100" w:afterAutospacing="1"/>
        <w:jc w:val="both"/>
        <w:rPr>
          <w:rFonts w:cstheme="minorHAnsi"/>
          <w:sz w:val="24"/>
          <w:szCs w:val="24"/>
        </w:rPr>
      </w:pPr>
      <w:r w:rsidRPr="00AB335D">
        <w:rPr>
          <w:sz w:val="24"/>
          <w:szCs w:val="24"/>
          <w:lang w:val="en-US"/>
        </w:rPr>
        <w:t xml:space="preserve">Hanks H, Veitch PC, Harris MF. A rural/urban comparison of the roles of the general practitioner in colorectal cancer management. </w:t>
      </w:r>
      <w:proofErr w:type="spellStart"/>
      <w:r w:rsidRPr="00AB335D">
        <w:rPr>
          <w:sz w:val="24"/>
          <w:szCs w:val="24"/>
          <w:lang w:val="en-US"/>
        </w:rPr>
        <w:t>Aust</w:t>
      </w:r>
      <w:proofErr w:type="spellEnd"/>
      <w:r w:rsidRPr="00AB335D">
        <w:rPr>
          <w:sz w:val="24"/>
          <w:szCs w:val="24"/>
          <w:lang w:val="en-US"/>
        </w:rPr>
        <w:t xml:space="preserve"> J Rural Heal. 2008</w:t>
      </w:r>
      <w:proofErr w:type="gramStart"/>
      <w:r w:rsidRPr="00AB335D">
        <w:rPr>
          <w:sz w:val="24"/>
          <w:szCs w:val="24"/>
          <w:lang w:val="en-US"/>
        </w:rPr>
        <w:t>;16:376</w:t>
      </w:r>
      <w:proofErr w:type="gramEnd"/>
      <w:r w:rsidRPr="00AB335D">
        <w:rPr>
          <w:sz w:val="24"/>
          <w:szCs w:val="24"/>
          <w:lang w:val="en-US"/>
        </w:rPr>
        <w:t xml:space="preserve">–382. Available at: </w:t>
      </w:r>
      <w:hyperlink r:id="rId21" w:history="1">
        <w:r w:rsidRPr="00AB335D">
          <w:rPr>
            <w:rStyle w:val="Hipervnculo"/>
            <w:sz w:val="24"/>
            <w:szCs w:val="24"/>
            <w:lang w:val="en-US"/>
          </w:rPr>
          <w:t>https://www.ncbi.nlm.nih.gov/pubmed/19032211</w:t>
        </w:r>
      </w:hyperlink>
      <w:r w:rsidRPr="00AB335D">
        <w:rPr>
          <w:sz w:val="24"/>
          <w:szCs w:val="24"/>
          <w:lang w:val="en-US"/>
        </w:rPr>
        <w:t>.</w:t>
      </w:r>
    </w:p>
    <w:p w:rsidR="00A93AD6" w:rsidRPr="00AB335D" w:rsidRDefault="00A93AD6" w:rsidP="0044148A">
      <w:pPr>
        <w:pStyle w:val="Prrafodelista"/>
        <w:numPr>
          <w:ilvl w:val="0"/>
          <w:numId w:val="7"/>
        </w:numPr>
        <w:spacing w:before="100" w:beforeAutospacing="1" w:after="100" w:afterAutospacing="1"/>
        <w:jc w:val="both"/>
        <w:rPr>
          <w:rFonts w:cstheme="minorHAnsi"/>
          <w:sz w:val="24"/>
          <w:szCs w:val="24"/>
        </w:rPr>
      </w:pPr>
      <w:r w:rsidRPr="00AB335D">
        <w:rPr>
          <w:sz w:val="24"/>
          <w:szCs w:val="24"/>
        </w:rPr>
        <w:lastRenderedPageBreak/>
        <w:t xml:space="preserve">Hurtado JL, </w:t>
      </w:r>
      <w:proofErr w:type="spellStart"/>
      <w:r w:rsidRPr="00AB335D">
        <w:rPr>
          <w:sz w:val="24"/>
          <w:szCs w:val="24"/>
        </w:rPr>
        <w:t>Bacigalupe</w:t>
      </w:r>
      <w:proofErr w:type="spellEnd"/>
      <w:r w:rsidRPr="00AB335D">
        <w:rPr>
          <w:sz w:val="24"/>
          <w:szCs w:val="24"/>
        </w:rPr>
        <w:t xml:space="preserve"> A, Calvo M, Esnaola S, Mendizabal N, Portillo I y </w:t>
      </w:r>
      <w:proofErr w:type="spellStart"/>
      <w:r w:rsidRPr="00AB335D">
        <w:rPr>
          <w:sz w:val="24"/>
          <w:szCs w:val="24"/>
        </w:rPr>
        <w:t>cols</w:t>
      </w:r>
      <w:proofErr w:type="spellEnd"/>
      <w:r w:rsidRPr="00AB335D">
        <w:rPr>
          <w:sz w:val="24"/>
          <w:szCs w:val="24"/>
        </w:rPr>
        <w:t xml:space="preserve">. </w:t>
      </w:r>
      <w:r w:rsidRPr="00AB335D">
        <w:rPr>
          <w:sz w:val="24"/>
          <w:szCs w:val="24"/>
          <w:lang w:val="en-US"/>
        </w:rPr>
        <w:t xml:space="preserve">Social inequalities in a population based colorectal cancer screening </w:t>
      </w:r>
      <w:proofErr w:type="spellStart"/>
      <w:r w:rsidRPr="00AB335D">
        <w:rPr>
          <w:sz w:val="24"/>
          <w:szCs w:val="24"/>
          <w:lang w:val="en-US"/>
        </w:rPr>
        <w:t>programme</w:t>
      </w:r>
      <w:proofErr w:type="spellEnd"/>
      <w:r w:rsidRPr="00AB335D">
        <w:rPr>
          <w:sz w:val="24"/>
          <w:szCs w:val="24"/>
          <w:lang w:val="en-US"/>
        </w:rPr>
        <w:t xml:space="preserve"> in the Basque Country. BMC Public Health 2015 DOI: 10.1186/s12889-015-2370-5</w:t>
      </w:r>
    </w:p>
    <w:p w:rsidR="00FD729E" w:rsidRPr="00AB335D" w:rsidRDefault="00FD729E" w:rsidP="0044148A">
      <w:pPr>
        <w:pStyle w:val="Prrafodelista"/>
        <w:numPr>
          <w:ilvl w:val="0"/>
          <w:numId w:val="7"/>
        </w:numPr>
        <w:spacing w:before="100" w:beforeAutospacing="1" w:after="100" w:afterAutospacing="1"/>
        <w:jc w:val="both"/>
        <w:rPr>
          <w:rFonts w:cstheme="minorHAnsi"/>
          <w:sz w:val="24"/>
          <w:szCs w:val="24"/>
        </w:rPr>
      </w:pPr>
      <w:proofErr w:type="gramStart"/>
      <w:r w:rsidRPr="00AB335D">
        <w:rPr>
          <w:sz w:val="24"/>
          <w:szCs w:val="24"/>
          <w:lang w:val="en-US"/>
        </w:rPr>
        <w:t>von</w:t>
      </w:r>
      <w:proofErr w:type="gramEnd"/>
      <w:r w:rsidRPr="00AB335D">
        <w:rPr>
          <w:sz w:val="24"/>
          <w:szCs w:val="24"/>
          <w:lang w:val="en-US"/>
        </w:rPr>
        <w:t xml:space="preserve"> Wagner C,  </w:t>
      </w:r>
      <w:proofErr w:type="spellStart"/>
      <w:r w:rsidRPr="00AB335D">
        <w:rPr>
          <w:sz w:val="24"/>
          <w:szCs w:val="24"/>
          <w:lang w:val="en-US"/>
        </w:rPr>
        <w:t>Baio</w:t>
      </w:r>
      <w:proofErr w:type="spellEnd"/>
      <w:r w:rsidRPr="00AB335D">
        <w:rPr>
          <w:sz w:val="24"/>
          <w:szCs w:val="24"/>
          <w:lang w:val="en-US"/>
        </w:rPr>
        <w:t xml:space="preserve"> JL, </w:t>
      </w:r>
      <w:proofErr w:type="spellStart"/>
      <w:r w:rsidRPr="00AB335D">
        <w:rPr>
          <w:sz w:val="24"/>
          <w:szCs w:val="24"/>
          <w:lang w:val="en-US"/>
        </w:rPr>
        <w:t>Raine</w:t>
      </w:r>
      <w:proofErr w:type="spellEnd"/>
      <w:r w:rsidRPr="00AB335D">
        <w:rPr>
          <w:sz w:val="24"/>
          <w:szCs w:val="24"/>
          <w:lang w:val="en-US"/>
        </w:rPr>
        <w:t xml:space="preserve"> R, Snowball L, Morris S y cols. Inequalities in Participation in an Organized National Colorectal Cancer Screening </w:t>
      </w:r>
      <w:proofErr w:type="spellStart"/>
      <w:r w:rsidRPr="00AB335D">
        <w:rPr>
          <w:sz w:val="24"/>
          <w:szCs w:val="24"/>
          <w:lang w:val="en-US"/>
        </w:rPr>
        <w:t>Programme</w:t>
      </w:r>
      <w:proofErr w:type="spellEnd"/>
      <w:r w:rsidRPr="00AB335D">
        <w:rPr>
          <w:sz w:val="24"/>
          <w:szCs w:val="24"/>
          <w:lang w:val="en-US"/>
        </w:rPr>
        <w:t>: Results from the First 2.6 Million Invitations in England. International Journal of Epidemiology. 2011: 40; 3: 712-18, doi:10.1093/</w:t>
      </w:r>
      <w:proofErr w:type="spellStart"/>
      <w:r w:rsidRPr="00AB335D">
        <w:rPr>
          <w:sz w:val="24"/>
          <w:szCs w:val="24"/>
          <w:lang w:val="en-US"/>
        </w:rPr>
        <w:t>ije</w:t>
      </w:r>
      <w:proofErr w:type="spellEnd"/>
      <w:r w:rsidRPr="00AB335D">
        <w:rPr>
          <w:sz w:val="24"/>
          <w:szCs w:val="24"/>
          <w:lang w:val="en-US"/>
        </w:rPr>
        <w:t>/dyr008</w:t>
      </w:r>
    </w:p>
    <w:p w:rsidR="00C738B7" w:rsidRPr="00AB335D" w:rsidRDefault="00C738B7" w:rsidP="0044148A">
      <w:pPr>
        <w:pStyle w:val="Prrafodelista"/>
        <w:numPr>
          <w:ilvl w:val="0"/>
          <w:numId w:val="7"/>
        </w:numPr>
        <w:spacing w:before="100" w:beforeAutospacing="1" w:after="100" w:afterAutospacing="1"/>
        <w:jc w:val="both"/>
        <w:rPr>
          <w:rFonts w:cstheme="minorHAnsi"/>
          <w:sz w:val="24"/>
          <w:szCs w:val="24"/>
        </w:rPr>
      </w:pPr>
      <w:r w:rsidRPr="00AB335D">
        <w:rPr>
          <w:sz w:val="24"/>
          <w:szCs w:val="24"/>
          <w:lang w:val="en-US"/>
        </w:rPr>
        <w:t>Arana-</w:t>
      </w:r>
      <w:proofErr w:type="spellStart"/>
      <w:r w:rsidRPr="00AB335D">
        <w:rPr>
          <w:sz w:val="24"/>
          <w:szCs w:val="24"/>
          <w:lang w:val="en-US"/>
        </w:rPr>
        <w:t>Arri</w:t>
      </w:r>
      <w:proofErr w:type="spellEnd"/>
      <w:r w:rsidRPr="00AB335D">
        <w:rPr>
          <w:sz w:val="24"/>
          <w:szCs w:val="24"/>
          <w:lang w:val="en-US"/>
        </w:rPr>
        <w:t xml:space="preserve"> E, </w:t>
      </w:r>
      <w:proofErr w:type="spellStart"/>
      <w:r w:rsidRPr="00AB335D">
        <w:rPr>
          <w:sz w:val="24"/>
          <w:szCs w:val="24"/>
          <w:lang w:val="en-US"/>
        </w:rPr>
        <w:t>Idigoras</w:t>
      </w:r>
      <w:proofErr w:type="spellEnd"/>
      <w:r w:rsidRPr="00AB335D">
        <w:rPr>
          <w:sz w:val="24"/>
          <w:szCs w:val="24"/>
          <w:lang w:val="en-US"/>
        </w:rPr>
        <w:t xml:space="preserve"> I, </w:t>
      </w:r>
      <w:proofErr w:type="spellStart"/>
      <w:r w:rsidRPr="00AB335D">
        <w:rPr>
          <w:sz w:val="24"/>
          <w:szCs w:val="24"/>
          <w:lang w:val="en-US"/>
        </w:rPr>
        <w:t>Uranga</w:t>
      </w:r>
      <w:proofErr w:type="spellEnd"/>
      <w:r w:rsidRPr="00AB335D">
        <w:rPr>
          <w:sz w:val="24"/>
          <w:szCs w:val="24"/>
          <w:lang w:val="en-US"/>
        </w:rPr>
        <w:t xml:space="preserve"> B, Perez R, </w:t>
      </w:r>
      <w:proofErr w:type="spellStart"/>
      <w:r w:rsidRPr="00AB335D">
        <w:rPr>
          <w:sz w:val="24"/>
          <w:szCs w:val="24"/>
          <w:lang w:val="en-US"/>
        </w:rPr>
        <w:t>Irurzun</w:t>
      </w:r>
      <w:proofErr w:type="spellEnd"/>
      <w:r w:rsidRPr="00AB335D">
        <w:rPr>
          <w:sz w:val="24"/>
          <w:szCs w:val="24"/>
          <w:lang w:val="en-US"/>
        </w:rPr>
        <w:t xml:space="preserve"> A, Gutierrez-</w:t>
      </w:r>
      <w:proofErr w:type="spellStart"/>
      <w:r w:rsidRPr="00AB335D">
        <w:rPr>
          <w:sz w:val="24"/>
          <w:szCs w:val="24"/>
          <w:lang w:val="en-US"/>
        </w:rPr>
        <w:t>Ibarluzea</w:t>
      </w:r>
      <w:proofErr w:type="spellEnd"/>
      <w:r w:rsidRPr="00AB335D">
        <w:rPr>
          <w:sz w:val="24"/>
          <w:szCs w:val="24"/>
          <w:lang w:val="en-US"/>
        </w:rPr>
        <w:t xml:space="preserve"> I y cols. Population-based colorectal cancer screening </w:t>
      </w:r>
      <w:proofErr w:type="spellStart"/>
      <w:r w:rsidRPr="00AB335D">
        <w:rPr>
          <w:sz w:val="24"/>
          <w:szCs w:val="24"/>
          <w:lang w:val="en-US"/>
        </w:rPr>
        <w:t>programmes</w:t>
      </w:r>
      <w:proofErr w:type="spellEnd"/>
      <w:r w:rsidRPr="00AB335D">
        <w:rPr>
          <w:sz w:val="24"/>
          <w:szCs w:val="24"/>
          <w:lang w:val="en-US"/>
        </w:rPr>
        <w:t xml:space="preserve"> using a </w:t>
      </w:r>
      <w:proofErr w:type="spellStart"/>
      <w:r w:rsidRPr="00AB335D">
        <w:rPr>
          <w:sz w:val="24"/>
          <w:szCs w:val="24"/>
          <w:lang w:val="en-US"/>
        </w:rPr>
        <w:t>faecal</w:t>
      </w:r>
      <w:proofErr w:type="spellEnd"/>
      <w:r w:rsidRPr="00AB335D">
        <w:rPr>
          <w:sz w:val="24"/>
          <w:szCs w:val="24"/>
          <w:lang w:val="en-US"/>
        </w:rPr>
        <w:t xml:space="preserve"> immunochemical test: should </w:t>
      </w:r>
      <w:proofErr w:type="spellStart"/>
      <w:r w:rsidRPr="00AB335D">
        <w:rPr>
          <w:sz w:val="24"/>
          <w:szCs w:val="24"/>
          <w:lang w:val="en-US"/>
        </w:rPr>
        <w:t>faecal</w:t>
      </w:r>
      <w:proofErr w:type="spellEnd"/>
      <w:r w:rsidRPr="00AB335D">
        <w:rPr>
          <w:sz w:val="24"/>
          <w:szCs w:val="24"/>
          <w:lang w:val="en-US"/>
        </w:rPr>
        <w:t xml:space="preserve"> hemoglobin cut-offs differ by age and sex?. BMC Cancer  DOI 10.1186/S12885-017-3555-3</w:t>
      </w:r>
    </w:p>
    <w:p w:rsidR="00A10718" w:rsidRPr="00AB335D" w:rsidRDefault="00A10718" w:rsidP="0044148A">
      <w:pPr>
        <w:pStyle w:val="Prrafodelista"/>
        <w:numPr>
          <w:ilvl w:val="0"/>
          <w:numId w:val="7"/>
        </w:numPr>
        <w:spacing w:before="100" w:beforeAutospacing="1" w:after="100" w:afterAutospacing="1"/>
        <w:jc w:val="both"/>
        <w:rPr>
          <w:rFonts w:cstheme="minorHAnsi"/>
          <w:sz w:val="24"/>
          <w:szCs w:val="24"/>
        </w:rPr>
      </w:pPr>
      <w:proofErr w:type="spellStart"/>
      <w:r w:rsidRPr="00AB335D">
        <w:rPr>
          <w:sz w:val="24"/>
          <w:szCs w:val="24"/>
          <w:lang w:val="en-US"/>
        </w:rPr>
        <w:t>Idigoras</w:t>
      </w:r>
      <w:proofErr w:type="spellEnd"/>
      <w:r w:rsidRPr="00AB335D">
        <w:rPr>
          <w:sz w:val="24"/>
          <w:szCs w:val="24"/>
          <w:lang w:val="en-US"/>
        </w:rPr>
        <w:t xml:space="preserve"> I, </w:t>
      </w:r>
      <w:proofErr w:type="spellStart"/>
      <w:r w:rsidRPr="00AB335D">
        <w:rPr>
          <w:sz w:val="24"/>
          <w:szCs w:val="24"/>
          <w:lang w:val="en-US"/>
        </w:rPr>
        <w:t>Arrospide</w:t>
      </w:r>
      <w:proofErr w:type="spellEnd"/>
      <w:r w:rsidRPr="00AB335D">
        <w:rPr>
          <w:sz w:val="24"/>
          <w:szCs w:val="24"/>
          <w:lang w:val="en-US"/>
        </w:rPr>
        <w:t xml:space="preserve"> A, Portillo I, Arana-</w:t>
      </w:r>
      <w:proofErr w:type="spellStart"/>
      <w:r w:rsidRPr="00AB335D">
        <w:rPr>
          <w:sz w:val="24"/>
          <w:szCs w:val="24"/>
          <w:lang w:val="en-US"/>
        </w:rPr>
        <w:t>Arri</w:t>
      </w:r>
      <w:proofErr w:type="spellEnd"/>
      <w:r w:rsidRPr="00AB335D">
        <w:rPr>
          <w:sz w:val="24"/>
          <w:szCs w:val="24"/>
          <w:lang w:val="en-US"/>
        </w:rPr>
        <w:t xml:space="preserve"> E, </w:t>
      </w:r>
      <w:proofErr w:type="spellStart"/>
      <w:r w:rsidRPr="00AB335D">
        <w:rPr>
          <w:sz w:val="24"/>
          <w:szCs w:val="24"/>
          <w:lang w:val="en-US"/>
        </w:rPr>
        <w:t>Martínez-Indart</w:t>
      </w:r>
      <w:proofErr w:type="spellEnd"/>
      <w:r w:rsidRPr="00AB335D">
        <w:rPr>
          <w:sz w:val="24"/>
          <w:szCs w:val="24"/>
          <w:lang w:val="en-US"/>
        </w:rPr>
        <w:t xml:space="preserve"> L, Mar J y cols. Evaluation of the colorectal cancer screening </w:t>
      </w:r>
      <w:proofErr w:type="spellStart"/>
      <w:r w:rsidRPr="00AB335D">
        <w:rPr>
          <w:sz w:val="24"/>
          <w:szCs w:val="24"/>
          <w:lang w:val="en-US"/>
        </w:rPr>
        <w:t>Programme</w:t>
      </w:r>
      <w:proofErr w:type="spellEnd"/>
      <w:r w:rsidRPr="00AB335D">
        <w:rPr>
          <w:sz w:val="24"/>
          <w:szCs w:val="24"/>
          <w:lang w:val="en-US"/>
        </w:rPr>
        <w:t xml:space="preserve"> in the Basque Country (Spain) and its effectiveness based on the </w:t>
      </w:r>
      <w:proofErr w:type="spellStart"/>
      <w:r w:rsidRPr="00AB335D">
        <w:rPr>
          <w:sz w:val="24"/>
          <w:szCs w:val="24"/>
          <w:lang w:val="en-US"/>
        </w:rPr>
        <w:t>Miscan</w:t>
      </w:r>
      <w:proofErr w:type="spellEnd"/>
      <w:r w:rsidRPr="00AB335D">
        <w:rPr>
          <w:sz w:val="24"/>
          <w:szCs w:val="24"/>
          <w:lang w:val="en-US"/>
        </w:rPr>
        <w:t>-colon model. BMC Public Health 2017</w:t>
      </w:r>
      <w:proofErr w:type="gramStart"/>
      <w:r w:rsidRPr="00AB335D">
        <w:rPr>
          <w:sz w:val="24"/>
          <w:szCs w:val="24"/>
          <w:lang w:val="en-US"/>
        </w:rPr>
        <w:t>;18:78</w:t>
      </w:r>
      <w:proofErr w:type="gramEnd"/>
      <w:r w:rsidRPr="00AB335D">
        <w:rPr>
          <w:sz w:val="24"/>
          <w:szCs w:val="24"/>
          <w:lang w:val="en-US"/>
        </w:rPr>
        <w:t>.</w:t>
      </w:r>
    </w:p>
    <w:p w:rsidR="00A10718" w:rsidRPr="00AB335D" w:rsidRDefault="00E333C6" w:rsidP="0044148A">
      <w:pPr>
        <w:pStyle w:val="Prrafodelista"/>
        <w:numPr>
          <w:ilvl w:val="0"/>
          <w:numId w:val="7"/>
        </w:numPr>
        <w:spacing w:before="100" w:beforeAutospacing="1" w:after="100" w:afterAutospacing="1"/>
        <w:jc w:val="both"/>
        <w:rPr>
          <w:rFonts w:cstheme="minorHAnsi"/>
          <w:noProof/>
          <w:sz w:val="24"/>
          <w:szCs w:val="24"/>
        </w:rPr>
      </w:pPr>
      <w:proofErr w:type="spellStart"/>
      <w:r w:rsidRPr="00AB335D">
        <w:rPr>
          <w:sz w:val="24"/>
          <w:szCs w:val="24"/>
        </w:rPr>
        <w:t>Arrospide</w:t>
      </w:r>
      <w:proofErr w:type="spellEnd"/>
      <w:r w:rsidRPr="00AB335D">
        <w:rPr>
          <w:sz w:val="24"/>
          <w:szCs w:val="24"/>
        </w:rPr>
        <w:t xml:space="preserve"> A, Idigoras I, Mar J, de </w:t>
      </w:r>
      <w:proofErr w:type="spellStart"/>
      <w:r w:rsidRPr="00AB335D">
        <w:rPr>
          <w:sz w:val="24"/>
          <w:szCs w:val="24"/>
        </w:rPr>
        <w:t>Koning</w:t>
      </w:r>
      <w:proofErr w:type="spellEnd"/>
      <w:r w:rsidRPr="00AB335D">
        <w:rPr>
          <w:sz w:val="24"/>
          <w:szCs w:val="24"/>
        </w:rPr>
        <w:t xml:space="preserve"> H, </w:t>
      </w:r>
      <w:proofErr w:type="spellStart"/>
      <w:r w:rsidRPr="00AB335D">
        <w:rPr>
          <w:sz w:val="24"/>
          <w:szCs w:val="24"/>
        </w:rPr>
        <w:t>van</w:t>
      </w:r>
      <w:proofErr w:type="spellEnd"/>
      <w:r w:rsidRPr="00AB335D">
        <w:rPr>
          <w:sz w:val="24"/>
          <w:szCs w:val="24"/>
        </w:rPr>
        <w:t xml:space="preserve"> </w:t>
      </w:r>
      <w:proofErr w:type="spellStart"/>
      <w:r w:rsidRPr="00AB335D">
        <w:rPr>
          <w:sz w:val="24"/>
          <w:szCs w:val="24"/>
        </w:rPr>
        <w:t>der</w:t>
      </w:r>
      <w:proofErr w:type="spellEnd"/>
      <w:r w:rsidRPr="00AB335D">
        <w:rPr>
          <w:sz w:val="24"/>
          <w:szCs w:val="24"/>
        </w:rPr>
        <w:t xml:space="preserve"> </w:t>
      </w:r>
      <w:proofErr w:type="spellStart"/>
      <w:r w:rsidRPr="00AB335D">
        <w:rPr>
          <w:sz w:val="24"/>
          <w:szCs w:val="24"/>
        </w:rPr>
        <w:t>Meulen</w:t>
      </w:r>
      <w:proofErr w:type="spellEnd"/>
      <w:r w:rsidRPr="00AB335D">
        <w:rPr>
          <w:sz w:val="24"/>
          <w:szCs w:val="24"/>
        </w:rPr>
        <w:t xml:space="preserve"> M, </w:t>
      </w:r>
      <w:proofErr w:type="spellStart"/>
      <w:r w:rsidRPr="00AB335D">
        <w:rPr>
          <w:sz w:val="24"/>
          <w:szCs w:val="24"/>
        </w:rPr>
        <w:t>Soto-Gordoa</w:t>
      </w:r>
      <w:proofErr w:type="spellEnd"/>
      <w:r w:rsidRPr="00AB335D">
        <w:rPr>
          <w:sz w:val="24"/>
          <w:szCs w:val="24"/>
        </w:rPr>
        <w:t xml:space="preserve"> M y </w:t>
      </w:r>
      <w:proofErr w:type="spellStart"/>
      <w:r w:rsidRPr="00AB335D">
        <w:rPr>
          <w:sz w:val="24"/>
          <w:szCs w:val="24"/>
        </w:rPr>
        <w:t>cols</w:t>
      </w:r>
      <w:proofErr w:type="spellEnd"/>
      <w:r w:rsidRPr="00AB335D">
        <w:rPr>
          <w:sz w:val="24"/>
          <w:szCs w:val="24"/>
        </w:rPr>
        <w:t xml:space="preserve">. </w:t>
      </w:r>
      <w:r w:rsidRPr="00AB335D">
        <w:rPr>
          <w:sz w:val="24"/>
          <w:szCs w:val="24"/>
          <w:lang w:val="en-US"/>
        </w:rPr>
        <w:t xml:space="preserve">Cost-effectiveness and budget impact analyses of a colorectal cancer screening </w:t>
      </w:r>
      <w:proofErr w:type="spellStart"/>
      <w:r w:rsidRPr="00AB335D">
        <w:rPr>
          <w:sz w:val="24"/>
          <w:szCs w:val="24"/>
          <w:lang w:val="en-US"/>
        </w:rPr>
        <w:t>programme</w:t>
      </w:r>
      <w:proofErr w:type="spellEnd"/>
      <w:r w:rsidRPr="00AB335D">
        <w:rPr>
          <w:sz w:val="24"/>
          <w:szCs w:val="24"/>
          <w:lang w:val="en-US"/>
        </w:rPr>
        <w:t xml:space="preserve"> in a high adenoma prevalence scenario using MISCAN-Colon microsimulation model. BMC Cancer 2018; 18:464. </w:t>
      </w:r>
      <w:proofErr w:type="spellStart"/>
      <w:r w:rsidRPr="00AB335D">
        <w:rPr>
          <w:sz w:val="24"/>
          <w:szCs w:val="24"/>
          <w:lang w:val="en-US"/>
        </w:rPr>
        <w:t>Accesible</w:t>
      </w:r>
      <w:proofErr w:type="spellEnd"/>
      <w:r w:rsidRPr="00AB335D">
        <w:rPr>
          <w:sz w:val="24"/>
          <w:szCs w:val="24"/>
          <w:lang w:val="en-US"/>
        </w:rPr>
        <w:t xml:space="preserve"> </w:t>
      </w:r>
      <w:proofErr w:type="spellStart"/>
      <w:r w:rsidRPr="00AB335D">
        <w:rPr>
          <w:sz w:val="24"/>
          <w:szCs w:val="24"/>
          <w:lang w:val="en-US"/>
        </w:rPr>
        <w:t>en</w:t>
      </w:r>
      <w:proofErr w:type="spellEnd"/>
      <w:r w:rsidRPr="00AB335D">
        <w:rPr>
          <w:sz w:val="24"/>
          <w:szCs w:val="24"/>
          <w:lang w:val="en-US"/>
        </w:rPr>
        <w:t xml:space="preserve">: </w:t>
      </w:r>
      <w:hyperlink r:id="rId22" w:history="1">
        <w:r w:rsidRPr="00AB335D">
          <w:rPr>
            <w:rStyle w:val="Hipervnculo"/>
            <w:sz w:val="24"/>
            <w:szCs w:val="24"/>
            <w:lang w:val="en-US"/>
          </w:rPr>
          <w:t>https://doi.org/10.1186/s12885-018-4362-1</w:t>
        </w:r>
      </w:hyperlink>
    </w:p>
    <w:p w:rsidR="002C4148" w:rsidRPr="00AB335D" w:rsidRDefault="002C4148" w:rsidP="00344A78">
      <w:pPr>
        <w:pStyle w:val="Prrafodelista"/>
        <w:spacing w:before="100" w:beforeAutospacing="1" w:after="100" w:afterAutospacing="1"/>
        <w:jc w:val="both"/>
        <w:rPr>
          <w:rFonts w:cstheme="minorHAnsi"/>
          <w:noProof/>
          <w:sz w:val="24"/>
          <w:szCs w:val="24"/>
          <w:lang w:val="en-US"/>
        </w:rPr>
      </w:pPr>
    </w:p>
    <w:p w:rsidR="00066439" w:rsidRPr="00AB335D" w:rsidRDefault="00066439" w:rsidP="00344A78">
      <w:pPr>
        <w:jc w:val="both"/>
        <w:rPr>
          <w:rFonts w:cstheme="minorHAnsi"/>
          <w:b/>
          <w:sz w:val="24"/>
          <w:szCs w:val="24"/>
          <w:u w:val="single"/>
          <w:lang w:val="en-US"/>
        </w:rPr>
      </w:pPr>
    </w:p>
    <w:p w:rsidR="005F0F60" w:rsidRDefault="005F0F60" w:rsidP="005F0F60">
      <w:pPr>
        <w:rPr>
          <w:b/>
        </w:rPr>
      </w:pPr>
      <w:r w:rsidRPr="001110D8">
        <w:rPr>
          <w:b/>
        </w:rPr>
        <w:t>EUSKOLON</w:t>
      </w:r>
      <w:r>
        <w:rPr>
          <w:b/>
        </w:rPr>
        <w:t xml:space="preserve"> TALDEA</w:t>
      </w:r>
    </w:p>
    <w:p w:rsidR="005F0F60" w:rsidRDefault="005F0F60" w:rsidP="005F0F60">
      <w:proofErr w:type="spellStart"/>
      <w:r>
        <w:t>José</w:t>
      </w:r>
      <w:proofErr w:type="spellEnd"/>
      <w:r>
        <w:t xml:space="preserve"> Luis Hurtado, Carmen de No, Aitor Orive, Carlos </w:t>
      </w:r>
      <w:proofErr w:type="spellStart"/>
      <w:r>
        <w:t>Enciso</w:t>
      </w:r>
      <w:proofErr w:type="spellEnd"/>
      <w:r>
        <w:t xml:space="preserve">, Maite Escalante, </w:t>
      </w:r>
      <w:proofErr w:type="spellStart"/>
      <w:r>
        <w:t>José</w:t>
      </w:r>
      <w:proofErr w:type="spellEnd"/>
      <w:r>
        <w:t xml:space="preserve"> Javier  </w:t>
      </w:r>
      <w:proofErr w:type="spellStart"/>
      <w:r>
        <w:t>Aguirre</w:t>
      </w:r>
      <w:proofErr w:type="spellEnd"/>
      <w:r>
        <w:t xml:space="preserve">, </w:t>
      </w:r>
      <w:proofErr w:type="spellStart"/>
      <w:r>
        <w:t>María</w:t>
      </w:r>
      <w:proofErr w:type="spellEnd"/>
      <w:r>
        <w:t xml:space="preserve"> Begoña </w:t>
      </w:r>
      <w:proofErr w:type="spellStart"/>
      <w:r>
        <w:t>Atarés</w:t>
      </w:r>
      <w:proofErr w:type="spellEnd"/>
      <w:r>
        <w:t xml:space="preserve">; Baltasar </w:t>
      </w:r>
      <w:proofErr w:type="spellStart"/>
      <w:r>
        <w:t>Cermeño</w:t>
      </w:r>
      <w:proofErr w:type="spellEnd"/>
      <w:r>
        <w:t xml:space="preserve">, </w:t>
      </w:r>
      <w:proofErr w:type="spellStart"/>
      <w:r>
        <w:t>José</w:t>
      </w:r>
      <w:proofErr w:type="spellEnd"/>
      <w:r>
        <w:t xml:space="preserve"> Antonio </w:t>
      </w:r>
      <w:proofErr w:type="spellStart"/>
      <w:r>
        <w:t>Romeo</w:t>
      </w:r>
      <w:proofErr w:type="spellEnd"/>
      <w:r>
        <w:t xml:space="preserve">; </w:t>
      </w:r>
      <w:proofErr w:type="spellStart"/>
      <w:r>
        <w:t>José</w:t>
      </w:r>
      <w:proofErr w:type="spellEnd"/>
      <w:r>
        <w:t xml:space="preserve"> Domingo </w:t>
      </w:r>
      <w:proofErr w:type="spellStart"/>
      <w:r>
        <w:t>Sardón</w:t>
      </w:r>
      <w:proofErr w:type="spellEnd"/>
      <w:r>
        <w:t xml:space="preserve">, </w:t>
      </w:r>
      <w:proofErr w:type="spellStart"/>
      <w:r>
        <w:t>Lorans</w:t>
      </w:r>
      <w:proofErr w:type="spellEnd"/>
      <w:r>
        <w:t xml:space="preserve"> </w:t>
      </w:r>
      <w:proofErr w:type="spellStart"/>
      <w:r>
        <w:t>Fernández</w:t>
      </w:r>
      <w:proofErr w:type="spellEnd"/>
      <w:r>
        <w:t xml:space="preserve">, Lorea </w:t>
      </w:r>
      <w:proofErr w:type="spellStart"/>
      <w:r>
        <w:t>Ibiricu</w:t>
      </w:r>
      <w:proofErr w:type="spellEnd"/>
      <w:r>
        <w:t xml:space="preserve">, </w:t>
      </w:r>
      <w:r w:rsidRPr="00564DEB">
        <w:t xml:space="preserve">Maria </w:t>
      </w:r>
      <w:proofErr w:type="spellStart"/>
      <w:r w:rsidRPr="00564DEB">
        <w:t>Udiarraga</w:t>
      </w:r>
      <w:proofErr w:type="spellEnd"/>
      <w:r w:rsidRPr="00564DEB">
        <w:t xml:space="preserve">, Patricia Seoane, Severina </w:t>
      </w:r>
      <w:proofErr w:type="spellStart"/>
      <w:r w:rsidRPr="00564DEB">
        <w:t>Domínguez</w:t>
      </w:r>
      <w:proofErr w:type="spellEnd"/>
      <w:r w:rsidRPr="00564DEB">
        <w:t xml:space="preserve"> (Araba ESI</w:t>
      </w:r>
      <w:proofErr w:type="spellStart"/>
      <w:r w:rsidRPr="00564DEB">
        <w:t xml:space="preserve">); </w:t>
      </w:r>
      <w:proofErr w:type="spellEnd"/>
      <w:r>
        <w:t xml:space="preserve">Luis Bujanda, </w:t>
      </w:r>
      <w:proofErr w:type="spellStart"/>
      <w:r>
        <w:t>Inés</w:t>
      </w:r>
      <w:proofErr w:type="spellEnd"/>
      <w:r>
        <w:t xml:space="preserve"> Gil, Ana </w:t>
      </w:r>
      <w:proofErr w:type="spellStart"/>
      <w:r>
        <w:t>Irurzun</w:t>
      </w:r>
      <w:proofErr w:type="spellEnd"/>
      <w:r>
        <w:t xml:space="preserve">, </w:t>
      </w:r>
      <w:proofErr w:type="spellStart"/>
      <w:r>
        <w:t>José</w:t>
      </w:r>
      <w:proofErr w:type="spellEnd"/>
      <w:r>
        <w:t xml:space="preserve"> Miguel </w:t>
      </w:r>
      <w:proofErr w:type="spellStart"/>
      <w:r>
        <w:t>Larzabal</w:t>
      </w:r>
      <w:proofErr w:type="spellEnd"/>
      <w:r>
        <w:t xml:space="preserve">, Maddi Garmendia, Yolanda Saralegui, Jose </w:t>
      </w:r>
      <w:proofErr w:type="spellStart"/>
      <w:r>
        <w:t>María</w:t>
      </w:r>
      <w:proofErr w:type="spellEnd"/>
      <w:r>
        <w:t xml:space="preserve"> </w:t>
      </w:r>
      <w:proofErr w:type="spellStart"/>
      <w:r>
        <w:t>Enriquez-Navascués</w:t>
      </w:r>
      <w:proofErr w:type="spellEnd"/>
      <w:r>
        <w:t xml:space="preserve">, Adelaida </w:t>
      </w:r>
      <w:proofErr w:type="spellStart"/>
      <w:r>
        <w:t>Lacasta</w:t>
      </w:r>
      <w:proofErr w:type="spellEnd"/>
      <w:r>
        <w:t>, Arrate Querejeta, Larraitz Egaña, Unai Goikoetxea; Fernando Mujika, Eva Zapata, Javier Herranz (Donostialdea ESI</w:t>
      </w:r>
      <w:proofErr w:type="spellStart"/>
      <w:r>
        <w:t xml:space="preserve">); </w:t>
      </w:r>
      <w:proofErr w:type="spellEnd"/>
      <w:r>
        <w:t xml:space="preserve">Miren Edurne </w:t>
      </w:r>
      <w:proofErr w:type="spellStart"/>
      <w:r>
        <w:t>Marañón</w:t>
      </w:r>
      <w:proofErr w:type="spellEnd"/>
      <w:r>
        <w:t>, Maria Esther Pereda, Aitor de Juan (</w:t>
      </w:r>
      <w:proofErr w:type="spellStart"/>
      <w:r>
        <w:t>Debagoiena</w:t>
      </w:r>
      <w:proofErr w:type="spellEnd"/>
      <w:r>
        <w:t xml:space="preserve"> ESI</w:t>
      </w:r>
      <w:proofErr w:type="spellStart"/>
      <w:r>
        <w:t>), José</w:t>
      </w:r>
      <w:proofErr w:type="spellEnd"/>
      <w:r>
        <w:t xml:space="preserve"> Francisco </w:t>
      </w:r>
      <w:proofErr w:type="spellStart"/>
      <w:r>
        <w:t>Egido</w:t>
      </w:r>
      <w:proofErr w:type="spellEnd"/>
      <w:r>
        <w:t xml:space="preserve">, Leire Zubiaurre, Juana </w:t>
      </w:r>
      <w:proofErr w:type="spellStart"/>
      <w:r>
        <w:t>María</w:t>
      </w:r>
      <w:proofErr w:type="spellEnd"/>
      <w:r>
        <w:t xml:space="preserve"> Rodriguez (</w:t>
      </w:r>
      <w:proofErr w:type="spellStart"/>
      <w:r>
        <w:t>Debabarrena</w:t>
      </w:r>
      <w:proofErr w:type="spellEnd"/>
      <w:r>
        <w:t xml:space="preserve"> ESI</w:t>
      </w:r>
      <w:proofErr w:type="spellStart"/>
      <w:r>
        <w:t xml:space="preserve">);  </w:t>
      </w:r>
      <w:proofErr w:type="spellEnd"/>
      <w:r>
        <w:t xml:space="preserve">Esteban San Pedro; Luisa </w:t>
      </w:r>
      <w:proofErr w:type="spellStart"/>
      <w:r>
        <w:t>Goyeneche</w:t>
      </w:r>
      <w:proofErr w:type="spellEnd"/>
      <w:r>
        <w:t xml:space="preserve">, Jose </w:t>
      </w:r>
      <w:proofErr w:type="spellStart"/>
      <w:r>
        <w:t>María</w:t>
      </w:r>
      <w:proofErr w:type="spellEnd"/>
      <w:r>
        <w:t xml:space="preserve"> </w:t>
      </w:r>
      <w:proofErr w:type="spellStart"/>
      <w:r>
        <w:t>Arrinda</w:t>
      </w:r>
      <w:proofErr w:type="spellEnd"/>
      <w:r>
        <w:t xml:space="preserve"> (Bidasoa ESI</w:t>
      </w:r>
      <w:proofErr w:type="spellStart"/>
      <w:r>
        <w:t xml:space="preserve">); </w:t>
      </w:r>
      <w:proofErr w:type="spellEnd"/>
      <w:r>
        <w:t xml:space="preserve">Julio Alfredo </w:t>
      </w:r>
      <w:proofErr w:type="spellStart"/>
      <w:r>
        <w:t>Bernuy</w:t>
      </w:r>
      <w:proofErr w:type="spellEnd"/>
      <w:r>
        <w:t xml:space="preserve">, Marta </w:t>
      </w:r>
      <w:proofErr w:type="spellStart"/>
      <w:r>
        <w:t>Sáiz</w:t>
      </w:r>
      <w:proofErr w:type="spellEnd"/>
      <w:r>
        <w:t xml:space="preserve"> (</w:t>
      </w:r>
      <w:proofErr w:type="spellStart"/>
      <w:r>
        <w:t>Goierri-Urola</w:t>
      </w:r>
      <w:proofErr w:type="spellEnd"/>
      <w:r>
        <w:t xml:space="preserve"> Garaia ESI</w:t>
      </w:r>
      <w:proofErr w:type="spellStart"/>
      <w:r>
        <w:t xml:space="preserve">); </w:t>
      </w:r>
      <w:proofErr w:type="spellEnd"/>
      <w:r>
        <w:t>Maria Luz Jauregui (Tolosaldea ESI</w:t>
      </w:r>
      <w:proofErr w:type="spellStart"/>
      <w:r>
        <w:t>); María</w:t>
      </w:r>
      <w:proofErr w:type="spellEnd"/>
      <w:r>
        <w:t xml:space="preserve"> Isabel Rodriguez,  </w:t>
      </w:r>
      <w:r w:rsidRPr="006C5C13">
        <w:t>Maria Imaz</w:t>
      </w:r>
      <w:r>
        <w:t>,</w:t>
      </w:r>
      <w:r w:rsidRPr="006C5C13">
        <w:t xml:space="preserve"> Francisco Polo</w:t>
      </w:r>
      <w:r>
        <w:t>, Maria Josefa Ulloa,</w:t>
      </w:r>
      <w:r w:rsidRPr="006C5C13">
        <w:t xml:space="preserve"> Angel </w:t>
      </w:r>
      <w:proofErr w:type="spellStart"/>
      <w:r w:rsidRPr="006C5C13">
        <w:t>Calderón</w:t>
      </w:r>
      <w:proofErr w:type="spellEnd"/>
      <w:r>
        <w:t>,</w:t>
      </w:r>
      <w:r w:rsidRPr="006C5C13">
        <w:t xml:space="preserve"> Maria Carmen </w:t>
      </w:r>
      <w:proofErr w:type="spellStart"/>
      <w:r w:rsidRPr="006C5C13">
        <w:t>Etxezarraga</w:t>
      </w:r>
      <w:proofErr w:type="spellEnd"/>
      <w:r>
        <w:t>,</w:t>
      </w:r>
      <w:r w:rsidRPr="006C5C13">
        <w:t xml:space="preserve"> Nagore </w:t>
      </w:r>
      <w:proofErr w:type="spellStart"/>
      <w:r w:rsidRPr="006C5C13">
        <w:t>Arbide</w:t>
      </w:r>
      <w:proofErr w:type="spellEnd"/>
      <w:r>
        <w:t xml:space="preserve">, </w:t>
      </w:r>
      <w:r w:rsidRPr="006C5C13">
        <w:t xml:space="preserve">Alberto </w:t>
      </w:r>
      <w:proofErr w:type="spellStart"/>
      <w:r w:rsidRPr="006C5C13">
        <w:t>Loizate</w:t>
      </w:r>
      <w:proofErr w:type="spellEnd"/>
      <w:r>
        <w:t>,</w:t>
      </w:r>
      <w:r w:rsidRPr="006C5C13">
        <w:t xml:space="preserve"> </w:t>
      </w:r>
      <w:proofErr w:type="spellStart"/>
      <w:r w:rsidRPr="00B60348">
        <w:t>Jesús</w:t>
      </w:r>
      <w:proofErr w:type="spellEnd"/>
      <w:r w:rsidRPr="00B60348">
        <w:t xml:space="preserve"> Maria </w:t>
      </w:r>
      <w:proofErr w:type="spellStart"/>
      <w:r w:rsidRPr="00B60348">
        <w:t>Gómez</w:t>
      </w:r>
      <w:proofErr w:type="spellEnd"/>
      <w:r>
        <w:t xml:space="preserve">, </w:t>
      </w:r>
      <w:r w:rsidRPr="00B60348">
        <w:t>Francisco Javier Fuertes</w:t>
      </w:r>
      <w:r>
        <w:t xml:space="preserve">, </w:t>
      </w:r>
      <w:proofErr w:type="spellStart"/>
      <w:r>
        <w:t>Nani</w:t>
      </w:r>
      <w:proofErr w:type="spellEnd"/>
      <w:r>
        <w:t xml:space="preserve"> </w:t>
      </w:r>
      <w:proofErr w:type="spellStart"/>
      <w:r>
        <w:t>Pérez</w:t>
      </w:r>
      <w:proofErr w:type="spellEnd"/>
      <w:r>
        <w:t xml:space="preserve">,  </w:t>
      </w:r>
      <w:proofErr w:type="spellStart"/>
      <w:r>
        <w:t>María</w:t>
      </w:r>
      <w:proofErr w:type="spellEnd"/>
      <w:r>
        <w:t xml:space="preserve"> Victoria </w:t>
      </w:r>
      <w:proofErr w:type="spellStart"/>
      <w:r>
        <w:t>Bárcena</w:t>
      </w:r>
      <w:proofErr w:type="spellEnd"/>
      <w:r>
        <w:t xml:space="preserve">,  Maria </w:t>
      </w:r>
      <w:proofErr w:type="spellStart"/>
      <w:r>
        <w:t>José</w:t>
      </w:r>
      <w:proofErr w:type="spellEnd"/>
      <w:r>
        <w:t xml:space="preserve"> </w:t>
      </w:r>
      <w:proofErr w:type="spellStart"/>
      <w:r>
        <w:t>Fernández</w:t>
      </w:r>
      <w:proofErr w:type="spellEnd"/>
      <w:r>
        <w:t xml:space="preserve"> (</w:t>
      </w:r>
      <w:proofErr w:type="spellStart"/>
      <w:r>
        <w:t>Bilbao-Basurto</w:t>
      </w:r>
      <w:proofErr w:type="spellEnd"/>
      <w:r>
        <w:t xml:space="preserve"> ESI</w:t>
      </w:r>
      <w:proofErr w:type="spellStart"/>
      <w:r>
        <w:t xml:space="preserve">); </w:t>
      </w:r>
      <w:proofErr w:type="spellEnd"/>
      <w:r>
        <w:t xml:space="preserve">Cristina </w:t>
      </w:r>
      <w:proofErr w:type="spellStart"/>
      <w:r>
        <w:t>Quesada</w:t>
      </w:r>
      <w:proofErr w:type="spellEnd"/>
      <w:r>
        <w:t xml:space="preserve">; Marian </w:t>
      </w:r>
      <w:proofErr w:type="spellStart"/>
      <w:r>
        <w:t>Puertollano</w:t>
      </w:r>
      <w:proofErr w:type="spellEnd"/>
      <w:r>
        <w:t xml:space="preserve">, Gaspar </w:t>
      </w:r>
      <w:proofErr w:type="spellStart"/>
      <w:r>
        <w:t>Lantarón</w:t>
      </w:r>
      <w:proofErr w:type="spellEnd"/>
      <w:r>
        <w:t xml:space="preserve">, Raquel </w:t>
      </w:r>
      <w:proofErr w:type="spellStart"/>
      <w:r>
        <w:t>Pérez</w:t>
      </w:r>
      <w:proofErr w:type="spellEnd"/>
      <w:r>
        <w:t xml:space="preserve">, Maria </w:t>
      </w:r>
      <w:proofErr w:type="spellStart"/>
      <w:r>
        <w:t>Jesús</w:t>
      </w:r>
      <w:proofErr w:type="spellEnd"/>
      <w:r>
        <w:t xml:space="preserve"> Suarez, Angel </w:t>
      </w:r>
      <w:proofErr w:type="spellStart"/>
      <w:r>
        <w:t>Barturen</w:t>
      </w:r>
      <w:proofErr w:type="spellEnd"/>
      <w:r>
        <w:t xml:space="preserve">, Enrique </w:t>
      </w:r>
      <w:proofErr w:type="spellStart"/>
      <w:r>
        <w:t>Ojembarrena</w:t>
      </w:r>
      <w:proofErr w:type="spellEnd"/>
      <w:r>
        <w:t xml:space="preserve">, </w:t>
      </w:r>
      <w:proofErr w:type="spellStart"/>
      <w:r>
        <w:t>César</w:t>
      </w:r>
      <w:proofErr w:type="spellEnd"/>
      <w:r>
        <w:t xml:space="preserve"> Ibarra, David </w:t>
      </w:r>
      <w:proofErr w:type="spellStart"/>
      <w:r>
        <w:t>Coto</w:t>
      </w:r>
      <w:proofErr w:type="spellEnd"/>
      <w:r>
        <w:t xml:space="preserve">, Jose Ignacio </w:t>
      </w:r>
      <w:proofErr w:type="spellStart"/>
      <w:r>
        <w:t>López</w:t>
      </w:r>
      <w:proofErr w:type="spellEnd"/>
      <w:r>
        <w:t xml:space="preserve"> </w:t>
      </w:r>
      <w:proofErr w:type="spellStart"/>
      <w:r>
        <w:t>Fernández</w:t>
      </w:r>
      <w:proofErr w:type="spellEnd"/>
      <w:r>
        <w:t xml:space="preserve">, Maria del Mar Ramirez, </w:t>
      </w:r>
      <w:proofErr w:type="spellStart"/>
      <w:r>
        <w:t>José</w:t>
      </w:r>
      <w:proofErr w:type="spellEnd"/>
      <w:r>
        <w:t xml:space="preserve"> </w:t>
      </w:r>
      <w:proofErr w:type="spellStart"/>
      <w:r>
        <w:t>María</w:t>
      </w:r>
      <w:proofErr w:type="spellEnd"/>
      <w:r>
        <w:t xml:space="preserve"> </w:t>
      </w:r>
      <w:proofErr w:type="spellStart"/>
      <w:r>
        <w:t>García</w:t>
      </w:r>
      <w:proofErr w:type="spellEnd"/>
      <w:r>
        <w:t xml:space="preserve">, Marta </w:t>
      </w:r>
      <w:proofErr w:type="spellStart"/>
      <w:r>
        <w:t>Santamaría</w:t>
      </w:r>
      <w:proofErr w:type="spellEnd"/>
      <w:r>
        <w:t xml:space="preserve">, Iñigo San Miguel, Aurora </w:t>
      </w:r>
      <w:proofErr w:type="spellStart"/>
      <w:r>
        <w:t>Lasso</w:t>
      </w:r>
      <w:proofErr w:type="spellEnd"/>
      <w:r>
        <w:t xml:space="preserve">, </w:t>
      </w:r>
      <w:proofErr w:type="spellStart"/>
      <w:r>
        <w:t>José</w:t>
      </w:r>
      <w:proofErr w:type="spellEnd"/>
      <w:r>
        <w:t xml:space="preserve"> </w:t>
      </w:r>
      <w:proofErr w:type="spellStart"/>
      <w:r>
        <w:t>María</w:t>
      </w:r>
      <w:proofErr w:type="spellEnd"/>
      <w:r>
        <w:t xml:space="preserve"> Peña, Ricardo </w:t>
      </w:r>
      <w:proofErr w:type="spellStart"/>
      <w:r>
        <w:t>Ituarte</w:t>
      </w:r>
      <w:proofErr w:type="spellEnd"/>
      <w:r>
        <w:t xml:space="preserve"> (</w:t>
      </w:r>
      <w:proofErr w:type="spellStart"/>
      <w:r>
        <w:t>Ezkerraldea-Enkarterri</w:t>
      </w:r>
      <w:proofErr w:type="spellEnd"/>
      <w:r>
        <w:t xml:space="preserve"> ESI</w:t>
      </w:r>
      <w:proofErr w:type="spellStart"/>
      <w:r>
        <w:t>); José</w:t>
      </w:r>
      <w:proofErr w:type="spellEnd"/>
      <w:r>
        <w:t xml:space="preserve"> Ignacio Merino, Eduardo de Miguel, Inmaculada Barredo, </w:t>
      </w:r>
      <w:r>
        <w:lastRenderedPageBreak/>
        <w:t xml:space="preserve">Vicente Portugal, Fernando </w:t>
      </w:r>
      <w:proofErr w:type="spellStart"/>
      <w:r>
        <w:t>Garicano</w:t>
      </w:r>
      <w:proofErr w:type="spellEnd"/>
      <w:r>
        <w:t xml:space="preserve">, Montserrat Mangas, </w:t>
      </w:r>
      <w:proofErr w:type="spellStart"/>
      <w:r>
        <w:t>Iago</w:t>
      </w:r>
      <w:proofErr w:type="spellEnd"/>
      <w:r>
        <w:t xml:space="preserve"> Rodriguez (</w:t>
      </w:r>
      <w:proofErr w:type="spellStart"/>
      <w:r>
        <w:t>Barrualde-Galdakao</w:t>
      </w:r>
      <w:proofErr w:type="spellEnd"/>
      <w:r>
        <w:t xml:space="preserve"> ESI</w:t>
      </w:r>
      <w:proofErr w:type="spellStart"/>
      <w:r>
        <w:t xml:space="preserve">); </w:t>
      </w:r>
      <w:proofErr w:type="spellEnd"/>
      <w:r>
        <w:t xml:space="preserve">Maria Luz </w:t>
      </w:r>
      <w:proofErr w:type="spellStart"/>
      <w:r>
        <w:t>Marqués</w:t>
      </w:r>
      <w:proofErr w:type="spellEnd"/>
      <w:r>
        <w:t xml:space="preserve">, Cristian Amezaga, </w:t>
      </w:r>
      <w:proofErr w:type="spellStart"/>
      <w:r>
        <w:t>Fidencio</w:t>
      </w:r>
      <w:proofErr w:type="spellEnd"/>
      <w:r>
        <w:t xml:space="preserve"> Bao, Haritz </w:t>
      </w:r>
      <w:proofErr w:type="spellStart"/>
      <w:r>
        <w:t>Cortés</w:t>
      </w:r>
      <w:proofErr w:type="spellEnd"/>
      <w:r>
        <w:t xml:space="preserve"> (Uribe ESI</w:t>
      </w:r>
      <w:proofErr w:type="spellStart"/>
      <w:r>
        <w:t>); Anaiansi</w:t>
      </w:r>
      <w:proofErr w:type="spellEnd"/>
      <w:r>
        <w:t xml:space="preserve"> </w:t>
      </w:r>
      <w:proofErr w:type="spellStart"/>
      <w:r>
        <w:t>Hernández</w:t>
      </w:r>
      <w:proofErr w:type="spellEnd"/>
      <w:r>
        <w:t xml:space="preserve">, </w:t>
      </w:r>
      <w:proofErr w:type="spellStart"/>
      <w:r>
        <w:t>María</w:t>
      </w:r>
      <w:proofErr w:type="spellEnd"/>
      <w:r>
        <w:t xml:space="preserve"> </w:t>
      </w:r>
      <w:proofErr w:type="spellStart"/>
      <w:r>
        <w:t>Fernández</w:t>
      </w:r>
      <w:proofErr w:type="spellEnd"/>
      <w:r>
        <w:t xml:space="preserve"> (</w:t>
      </w:r>
      <w:proofErr w:type="spellStart"/>
      <w:r>
        <w:t>Barakaldo-Sestao</w:t>
      </w:r>
      <w:proofErr w:type="spellEnd"/>
      <w:r>
        <w:t xml:space="preserve"> ESI</w:t>
      </w:r>
      <w:proofErr w:type="spellStart"/>
      <w:r>
        <w:t>); José</w:t>
      </w:r>
      <w:proofErr w:type="spellEnd"/>
      <w:r>
        <w:t xml:space="preserve"> Luis </w:t>
      </w:r>
      <w:proofErr w:type="spellStart"/>
      <w:r>
        <w:t>Bilbao</w:t>
      </w:r>
      <w:proofErr w:type="spellEnd"/>
      <w:r>
        <w:t xml:space="preserve">, Isabel Portillo, Isabel Idigoras, Isabel </w:t>
      </w:r>
      <w:proofErr w:type="spellStart"/>
      <w:r>
        <w:t>Bilbao</w:t>
      </w:r>
      <w:proofErr w:type="spellEnd"/>
      <w:r>
        <w:t xml:space="preserve">, Eduardo </w:t>
      </w:r>
      <w:proofErr w:type="spellStart"/>
      <w:r>
        <w:t>Millán</w:t>
      </w:r>
      <w:proofErr w:type="spellEnd"/>
      <w:r>
        <w:t xml:space="preserve"> (Zuzendaritza Nagusia); </w:t>
      </w:r>
      <w:r w:rsidRPr="003910A6">
        <w:t xml:space="preserve">Eunate </w:t>
      </w:r>
      <w:proofErr w:type="spellStart"/>
      <w:r w:rsidRPr="003910A6">
        <w:t>Arana-Arri</w:t>
      </w:r>
      <w:proofErr w:type="spellEnd"/>
      <w:r>
        <w:t xml:space="preserve">, </w:t>
      </w:r>
      <w:proofErr w:type="spellStart"/>
      <w:r w:rsidRPr="003910A6">
        <w:t>Natale</w:t>
      </w:r>
      <w:proofErr w:type="spellEnd"/>
      <w:r w:rsidRPr="003910A6">
        <w:t xml:space="preserve"> Imaz, Lorea </w:t>
      </w:r>
      <w:proofErr w:type="spellStart"/>
      <w:r w:rsidRPr="003910A6">
        <w:t>Martínez-Indart</w:t>
      </w:r>
      <w:proofErr w:type="spellEnd"/>
      <w:r w:rsidRPr="003910A6">
        <w:t xml:space="preserve">, Nere </w:t>
      </w:r>
      <w:proofErr w:type="spellStart"/>
      <w:r w:rsidRPr="003910A6">
        <w:t>Mendizábal</w:t>
      </w:r>
      <w:proofErr w:type="spellEnd"/>
      <w:r w:rsidRPr="003910A6">
        <w:t xml:space="preserve"> (</w:t>
      </w:r>
      <w:proofErr w:type="spellStart"/>
      <w:r w:rsidRPr="003910A6">
        <w:t>BioCruces</w:t>
      </w:r>
      <w:proofErr w:type="spellEnd"/>
      <w:r w:rsidRPr="003910A6">
        <w:t>)</w:t>
      </w:r>
      <w:r>
        <w:t xml:space="preserve">;  Arantza </w:t>
      </w:r>
      <w:proofErr w:type="spellStart"/>
      <w:r>
        <w:t>López</w:t>
      </w:r>
      <w:proofErr w:type="spellEnd"/>
      <w:r>
        <w:t xml:space="preserve"> de Munain, Covadonga  </w:t>
      </w:r>
      <w:proofErr w:type="spellStart"/>
      <w:r>
        <w:t>Audicana</w:t>
      </w:r>
      <w:proofErr w:type="spellEnd"/>
      <w:r>
        <w:t xml:space="preserve">, Nerea </w:t>
      </w:r>
      <w:proofErr w:type="spellStart"/>
      <w:r>
        <w:t>Muniozguren</w:t>
      </w:r>
      <w:proofErr w:type="spellEnd"/>
      <w:r>
        <w:t xml:space="preserve">, Marta de la Cruz, </w:t>
      </w:r>
      <w:proofErr w:type="spellStart"/>
      <w:r>
        <w:t>Visitación</w:t>
      </w:r>
      <w:proofErr w:type="spellEnd"/>
      <w:r>
        <w:t xml:space="preserve"> de Castro, Nerea Larrañaga, Esther </w:t>
      </w:r>
      <w:proofErr w:type="spellStart"/>
      <w:r>
        <w:t>Hernández</w:t>
      </w:r>
      <w:proofErr w:type="spellEnd"/>
      <w:r>
        <w:t xml:space="preserve">, Iñaki </w:t>
      </w:r>
      <w:proofErr w:type="spellStart"/>
      <w:r>
        <w:t>Gutierrez-Ibarluzea</w:t>
      </w:r>
      <w:proofErr w:type="spellEnd"/>
      <w:r>
        <w:t xml:space="preserve">, Marta </w:t>
      </w:r>
      <w:proofErr w:type="spellStart"/>
      <w:r>
        <w:t>López</w:t>
      </w:r>
      <w:proofErr w:type="spellEnd"/>
      <w:r>
        <w:t xml:space="preserve"> de </w:t>
      </w:r>
      <w:proofErr w:type="spellStart"/>
      <w:r>
        <w:t>Argumedo</w:t>
      </w:r>
      <w:proofErr w:type="spellEnd"/>
      <w:r>
        <w:t xml:space="preserve">, Eva </w:t>
      </w:r>
      <w:proofErr w:type="spellStart"/>
      <w:r>
        <w:t>Reviriego</w:t>
      </w:r>
      <w:proofErr w:type="spellEnd"/>
      <w:r>
        <w:t xml:space="preserve"> (Osasun Saila); Saloa Unanue, Amaia </w:t>
      </w:r>
      <w:proofErr w:type="spellStart"/>
      <w:r>
        <w:t>Bacigalupe</w:t>
      </w:r>
      <w:proofErr w:type="spellEnd"/>
      <w:r>
        <w:t xml:space="preserve">, Unai </w:t>
      </w:r>
      <w:proofErr w:type="spellStart"/>
      <w:r>
        <w:t>Martín</w:t>
      </w:r>
      <w:proofErr w:type="spellEnd"/>
      <w:r>
        <w:t xml:space="preserve"> (EHU)</w:t>
      </w:r>
    </w:p>
    <w:p w:rsidR="00066439" w:rsidRPr="005F0F60" w:rsidRDefault="00066439" w:rsidP="00344A78">
      <w:pPr>
        <w:jc w:val="both"/>
        <w:rPr>
          <w:rFonts w:cstheme="minorHAnsi"/>
          <w:b/>
          <w:sz w:val="24"/>
          <w:szCs w:val="24"/>
          <w:u w:val="single"/>
        </w:rPr>
      </w:pPr>
      <w:bookmarkStart w:id="0" w:name="_GoBack"/>
      <w:bookmarkEnd w:id="0"/>
    </w:p>
    <w:sectPr w:rsidR="00066439" w:rsidRPr="005F0F6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9A5" w:rsidRDefault="008939A5" w:rsidP="00BC0C41">
      <w:pPr>
        <w:spacing w:after="0" w:line="240" w:lineRule="auto"/>
      </w:pPr>
      <w:r>
        <w:separator/>
      </w:r>
    </w:p>
  </w:endnote>
  <w:endnote w:type="continuationSeparator" w:id="0">
    <w:p w:rsidR="008939A5" w:rsidRDefault="008939A5" w:rsidP="00BC0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9A5" w:rsidRDefault="008939A5" w:rsidP="00BC0C41">
      <w:pPr>
        <w:spacing w:after="0" w:line="240" w:lineRule="auto"/>
      </w:pPr>
      <w:r>
        <w:separator/>
      </w:r>
    </w:p>
  </w:footnote>
  <w:footnote w:type="continuationSeparator" w:id="0">
    <w:p w:rsidR="008939A5" w:rsidRDefault="008939A5" w:rsidP="00BC0C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775CF"/>
    <w:multiLevelType w:val="hybridMultilevel"/>
    <w:tmpl w:val="FA7C29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DC3332"/>
    <w:multiLevelType w:val="hybridMultilevel"/>
    <w:tmpl w:val="87183718"/>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2D363BBC"/>
    <w:multiLevelType w:val="hybridMultilevel"/>
    <w:tmpl w:val="547C8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A0222A8"/>
    <w:multiLevelType w:val="hybridMultilevel"/>
    <w:tmpl w:val="547C8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88B09E1"/>
    <w:multiLevelType w:val="hybridMultilevel"/>
    <w:tmpl w:val="547C8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12D1E53"/>
    <w:multiLevelType w:val="hybridMultilevel"/>
    <w:tmpl w:val="D7A46818"/>
    <w:lvl w:ilvl="0" w:tplc="F20C5E48">
      <w:start w:val="1"/>
      <w:numFmt w:val="decimal"/>
      <w:lvlText w:val="%1."/>
      <w:lvlJc w:val="left"/>
      <w:pPr>
        <w:ind w:left="720" w:hanging="360"/>
      </w:pPr>
      <w:rPr>
        <w:rFonts w:hint="default"/>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756B6CDF"/>
    <w:multiLevelType w:val="hybridMultilevel"/>
    <w:tmpl w:val="5DE0B8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09"/>
    <w:rsid w:val="000009F5"/>
    <w:rsid w:val="00001AF8"/>
    <w:rsid w:val="00001B98"/>
    <w:rsid w:val="00015A51"/>
    <w:rsid w:val="00022B51"/>
    <w:rsid w:val="00024C7B"/>
    <w:rsid w:val="0002797A"/>
    <w:rsid w:val="000306C8"/>
    <w:rsid w:val="000418CF"/>
    <w:rsid w:val="00051EFD"/>
    <w:rsid w:val="0005699E"/>
    <w:rsid w:val="00066439"/>
    <w:rsid w:val="00077E93"/>
    <w:rsid w:val="000852F4"/>
    <w:rsid w:val="000A751D"/>
    <w:rsid w:val="000B179C"/>
    <w:rsid w:val="000C1BB1"/>
    <w:rsid w:val="000C2A47"/>
    <w:rsid w:val="000F20EB"/>
    <w:rsid w:val="001142DC"/>
    <w:rsid w:val="0014592E"/>
    <w:rsid w:val="001852F4"/>
    <w:rsid w:val="00185F37"/>
    <w:rsid w:val="001B0CAA"/>
    <w:rsid w:val="001C0A7C"/>
    <w:rsid w:val="001E0F01"/>
    <w:rsid w:val="001F0371"/>
    <w:rsid w:val="0020328A"/>
    <w:rsid w:val="00211C75"/>
    <w:rsid w:val="00247398"/>
    <w:rsid w:val="002528B5"/>
    <w:rsid w:val="002725B9"/>
    <w:rsid w:val="00275578"/>
    <w:rsid w:val="0028380E"/>
    <w:rsid w:val="002901C7"/>
    <w:rsid w:val="00292EF3"/>
    <w:rsid w:val="002A2959"/>
    <w:rsid w:val="002B56C9"/>
    <w:rsid w:val="002C4148"/>
    <w:rsid w:val="002D2B56"/>
    <w:rsid w:val="002D4A2A"/>
    <w:rsid w:val="002D578C"/>
    <w:rsid w:val="002E729A"/>
    <w:rsid w:val="00305BED"/>
    <w:rsid w:val="00306FE1"/>
    <w:rsid w:val="00313C31"/>
    <w:rsid w:val="003407BF"/>
    <w:rsid w:val="00344A78"/>
    <w:rsid w:val="00355725"/>
    <w:rsid w:val="003602E4"/>
    <w:rsid w:val="0036190C"/>
    <w:rsid w:val="00362B1B"/>
    <w:rsid w:val="00370E54"/>
    <w:rsid w:val="003773E6"/>
    <w:rsid w:val="0039094E"/>
    <w:rsid w:val="003A2105"/>
    <w:rsid w:val="003B5CD4"/>
    <w:rsid w:val="003D112B"/>
    <w:rsid w:val="003D5C53"/>
    <w:rsid w:val="00416C05"/>
    <w:rsid w:val="00441402"/>
    <w:rsid w:val="0044148A"/>
    <w:rsid w:val="004515CB"/>
    <w:rsid w:val="00453C73"/>
    <w:rsid w:val="004616B9"/>
    <w:rsid w:val="00472E24"/>
    <w:rsid w:val="004742E3"/>
    <w:rsid w:val="004843FA"/>
    <w:rsid w:val="00493E75"/>
    <w:rsid w:val="004C4230"/>
    <w:rsid w:val="005012BB"/>
    <w:rsid w:val="0050482A"/>
    <w:rsid w:val="00515108"/>
    <w:rsid w:val="00542865"/>
    <w:rsid w:val="00550E8C"/>
    <w:rsid w:val="00563982"/>
    <w:rsid w:val="00571B49"/>
    <w:rsid w:val="005863A5"/>
    <w:rsid w:val="005B2834"/>
    <w:rsid w:val="005C69EC"/>
    <w:rsid w:val="005D1CAE"/>
    <w:rsid w:val="005E2447"/>
    <w:rsid w:val="005F0F60"/>
    <w:rsid w:val="006076C5"/>
    <w:rsid w:val="00647103"/>
    <w:rsid w:val="006659A3"/>
    <w:rsid w:val="006836D1"/>
    <w:rsid w:val="00686B39"/>
    <w:rsid w:val="00691020"/>
    <w:rsid w:val="006919A9"/>
    <w:rsid w:val="00692292"/>
    <w:rsid w:val="006932A4"/>
    <w:rsid w:val="006F0A9F"/>
    <w:rsid w:val="00721981"/>
    <w:rsid w:val="00730F8A"/>
    <w:rsid w:val="007336A9"/>
    <w:rsid w:val="00750449"/>
    <w:rsid w:val="007761DA"/>
    <w:rsid w:val="007A2757"/>
    <w:rsid w:val="007B0A27"/>
    <w:rsid w:val="007C6AFE"/>
    <w:rsid w:val="007D4EFE"/>
    <w:rsid w:val="007F4083"/>
    <w:rsid w:val="008071CC"/>
    <w:rsid w:val="008137DB"/>
    <w:rsid w:val="0082490C"/>
    <w:rsid w:val="008264FC"/>
    <w:rsid w:val="00827935"/>
    <w:rsid w:val="00834502"/>
    <w:rsid w:val="00850CC1"/>
    <w:rsid w:val="00853B6B"/>
    <w:rsid w:val="00860487"/>
    <w:rsid w:val="00876C89"/>
    <w:rsid w:val="008939A5"/>
    <w:rsid w:val="008A59B3"/>
    <w:rsid w:val="008A667F"/>
    <w:rsid w:val="008B44E0"/>
    <w:rsid w:val="008D5AD5"/>
    <w:rsid w:val="008E0E94"/>
    <w:rsid w:val="008E7F70"/>
    <w:rsid w:val="0090188D"/>
    <w:rsid w:val="0090246C"/>
    <w:rsid w:val="009132CD"/>
    <w:rsid w:val="009231FA"/>
    <w:rsid w:val="009316D0"/>
    <w:rsid w:val="0094414E"/>
    <w:rsid w:val="00953C4C"/>
    <w:rsid w:val="00975750"/>
    <w:rsid w:val="00981B24"/>
    <w:rsid w:val="0098274F"/>
    <w:rsid w:val="009B6030"/>
    <w:rsid w:val="009E6319"/>
    <w:rsid w:val="00A050B2"/>
    <w:rsid w:val="00A10718"/>
    <w:rsid w:val="00A26314"/>
    <w:rsid w:val="00A556DE"/>
    <w:rsid w:val="00A664C4"/>
    <w:rsid w:val="00A93AD6"/>
    <w:rsid w:val="00A9783F"/>
    <w:rsid w:val="00AB12AB"/>
    <w:rsid w:val="00AB335D"/>
    <w:rsid w:val="00AB4AE9"/>
    <w:rsid w:val="00AC0B10"/>
    <w:rsid w:val="00AE0C20"/>
    <w:rsid w:val="00B26E3B"/>
    <w:rsid w:val="00B335D5"/>
    <w:rsid w:val="00B3585F"/>
    <w:rsid w:val="00B364E8"/>
    <w:rsid w:val="00B42122"/>
    <w:rsid w:val="00B47042"/>
    <w:rsid w:val="00B80379"/>
    <w:rsid w:val="00BA6B19"/>
    <w:rsid w:val="00BB14D6"/>
    <w:rsid w:val="00BB2807"/>
    <w:rsid w:val="00BC0C41"/>
    <w:rsid w:val="00BC443B"/>
    <w:rsid w:val="00BD0075"/>
    <w:rsid w:val="00BE4DB1"/>
    <w:rsid w:val="00C16F2D"/>
    <w:rsid w:val="00C1757C"/>
    <w:rsid w:val="00C22B33"/>
    <w:rsid w:val="00C43A96"/>
    <w:rsid w:val="00C7135A"/>
    <w:rsid w:val="00C738B7"/>
    <w:rsid w:val="00C84482"/>
    <w:rsid w:val="00C9010D"/>
    <w:rsid w:val="00CB2DE8"/>
    <w:rsid w:val="00CC58A8"/>
    <w:rsid w:val="00CD30D8"/>
    <w:rsid w:val="00CE3F54"/>
    <w:rsid w:val="00D12906"/>
    <w:rsid w:val="00D206EE"/>
    <w:rsid w:val="00D2175D"/>
    <w:rsid w:val="00D33F82"/>
    <w:rsid w:val="00D6160A"/>
    <w:rsid w:val="00D637BA"/>
    <w:rsid w:val="00D739C4"/>
    <w:rsid w:val="00D86B2D"/>
    <w:rsid w:val="00D938F6"/>
    <w:rsid w:val="00DA75C3"/>
    <w:rsid w:val="00DB3D06"/>
    <w:rsid w:val="00DE3DB1"/>
    <w:rsid w:val="00DE4A90"/>
    <w:rsid w:val="00DF3BD4"/>
    <w:rsid w:val="00DF4E4A"/>
    <w:rsid w:val="00E10451"/>
    <w:rsid w:val="00E333C6"/>
    <w:rsid w:val="00E607AC"/>
    <w:rsid w:val="00E92B38"/>
    <w:rsid w:val="00EB1CE7"/>
    <w:rsid w:val="00ED74CA"/>
    <w:rsid w:val="00F14004"/>
    <w:rsid w:val="00F361E9"/>
    <w:rsid w:val="00F36C08"/>
    <w:rsid w:val="00F42239"/>
    <w:rsid w:val="00F53009"/>
    <w:rsid w:val="00F56C7A"/>
    <w:rsid w:val="00F631F5"/>
    <w:rsid w:val="00F67A3F"/>
    <w:rsid w:val="00FA44EF"/>
    <w:rsid w:val="00FD2342"/>
    <w:rsid w:val="00FD5B0F"/>
    <w:rsid w:val="00FD72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BC0C41"/>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BC0C41"/>
    <w:rPr>
      <w:rFonts w:ascii="Times New Roman" w:eastAsia="Times New Roman" w:hAnsi="Times New Roman" w:cs="Times New Roman"/>
      <w:sz w:val="20"/>
      <w:szCs w:val="20"/>
      <w:lang w:val="eu-ES" w:eastAsia="es-ES"/>
    </w:rPr>
  </w:style>
  <w:style w:type="character" w:styleId="Refdenotaalpie">
    <w:name w:val="footnote reference"/>
    <w:rsid w:val="00BC0C41"/>
    <w:rPr>
      <w:vertAlign w:val="superscript"/>
    </w:rPr>
  </w:style>
  <w:style w:type="character" w:styleId="Hipervnculo">
    <w:name w:val="Hyperlink"/>
    <w:basedOn w:val="Fuentedeprrafopredeter"/>
    <w:uiPriority w:val="99"/>
    <w:unhideWhenUsed/>
    <w:rsid w:val="00BC0C41"/>
    <w:rPr>
      <w:color w:val="0000FF" w:themeColor="hyperlink"/>
      <w:u w:val="single"/>
    </w:rPr>
  </w:style>
  <w:style w:type="paragraph" w:styleId="Textoindependiente3">
    <w:name w:val="Body Text 3"/>
    <w:basedOn w:val="Normal"/>
    <w:link w:val="Textoindependiente3Car"/>
    <w:rsid w:val="00BC0C41"/>
    <w:pPr>
      <w:spacing w:after="0" w:line="240" w:lineRule="auto"/>
      <w:jc w:val="center"/>
    </w:pPr>
    <w:rPr>
      <w:rFonts w:ascii="Arial" w:eastAsia="SimSun" w:hAnsi="Arial" w:cs="Arial"/>
      <w:b/>
      <w:bCs/>
      <w:sz w:val="20"/>
      <w:szCs w:val="20"/>
      <w:lang w:eastAsia="es-ES"/>
    </w:rPr>
  </w:style>
  <w:style w:type="character" w:customStyle="1" w:styleId="Textoindependiente3Car">
    <w:name w:val="Texto independiente 3 Car"/>
    <w:basedOn w:val="Fuentedeprrafopredeter"/>
    <w:link w:val="Textoindependiente3"/>
    <w:rsid w:val="00BC0C41"/>
    <w:rPr>
      <w:rFonts w:ascii="Arial" w:eastAsia="SimSun" w:hAnsi="Arial" w:cs="Arial"/>
      <w:b/>
      <w:bCs/>
      <w:sz w:val="20"/>
      <w:szCs w:val="20"/>
      <w:lang w:eastAsia="es-ES"/>
    </w:rPr>
  </w:style>
  <w:style w:type="paragraph" w:customStyle="1" w:styleId="Default">
    <w:name w:val="Default"/>
    <w:rsid w:val="00BC0C4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Textodeglobo">
    <w:name w:val="Balloon Text"/>
    <w:basedOn w:val="Normal"/>
    <w:link w:val="TextodegloboCar"/>
    <w:uiPriority w:val="99"/>
    <w:semiHidden/>
    <w:unhideWhenUsed/>
    <w:rsid w:val="00305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BED"/>
    <w:rPr>
      <w:rFonts w:ascii="Tahoma" w:hAnsi="Tahoma" w:cs="Tahoma"/>
      <w:sz w:val="16"/>
      <w:szCs w:val="16"/>
    </w:rPr>
  </w:style>
  <w:style w:type="paragraph" w:customStyle="1" w:styleId="EndNoteBibliography">
    <w:name w:val="EndNote Bibliography"/>
    <w:basedOn w:val="Normal"/>
    <w:rsid w:val="000C1BB1"/>
    <w:pPr>
      <w:widowControl w:val="0"/>
      <w:spacing w:line="240" w:lineRule="auto"/>
    </w:pPr>
    <w:rPr>
      <w:rFonts w:ascii="Calibri" w:eastAsia="Times New Roman" w:hAnsi="Calibri" w:cs="Times New Roman"/>
      <w:kern w:val="2"/>
      <w:sz w:val="20"/>
      <w:lang w:eastAsia="zh-CN"/>
    </w:rPr>
  </w:style>
  <w:style w:type="paragraph" w:styleId="Prrafodelista">
    <w:name w:val="List Paragraph"/>
    <w:basedOn w:val="Normal"/>
    <w:uiPriority w:val="34"/>
    <w:qFormat/>
    <w:rsid w:val="00DB3D06"/>
    <w:pPr>
      <w:ind w:left="720"/>
      <w:contextualSpacing/>
    </w:pPr>
  </w:style>
  <w:style w:type="paragraph" w:styleId="NormalWeb">
    <w:name w:val="Normal (Web)"/>
    <w:basedOn w:val="Normal"/>
    <w:uiPriority w:val="99"/>
    <w:unhideWhenUsed/>
    <w:rsid w:val="00550E8C"/>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Textonotaalfinal">
    <w:name w:val="endnote text"/>
    <w:basedOn w:val="Normal"/>
    <w:link w:val="TextonotaalfinalCar"/>
    <w:uiPriority w:val="99"/>
    <w:semiHidden/>
    <w:unhideWhenUsed/>
    <w:rsid w:val="00313C3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13C31"/>
    <w:rPr>
      <w:sz w:val="20"/>
      <w:szCs w:val="20"/>
    </w:rPr>
  </w:style>
  <w:style w:type="character" w:styleId="Refdenotaalfinal">
    <w:name w:val="endnote reference"/>
    <w:basedOn w:val="Fuentedeprrafopredeter"/>
    <w:uiPriority w:val="99"/>
    <w:semiHidden/>
    <w:unhideWhenUsed/>
    <w:rsid w:val="00313C31"/>
    <w:rPr>
      <w:vertAlign w:val="superscript"/>
    </w:rPr>
  </w:style>
  <w:style w:type="character" w:styleId="Hipervnculovisitado">
    <w:name w:val="FollowedHyperlink"/>
    <w:basedOn w:val="Fuentedeprrafopredeter"/>
    <w:uiPriority w:val="99"/>
    <w:semiHidden/>
    <w:unhideWhenUsed/>
    <w:rsid w:val="005863A5"/>
    <w:rPr>
      <w:color w:val="800080" w:themeColor="followedHyperlink"/>
      <w:u w:val="single"/>
    </w:rPr>
  </w:style>
  <w:style w:type="paragraph" w:styleId="Textocomentario">
    <w:name w:val="annotation text"/>
    <w:basedOn w:val="Normal"/>
    <w:link w:val="TextocomentarioCar"/>
    <w:uiPriority w:val="99"/>
    <w:semiHidden/>
    <w:unhideWhenUsed/>
    <w:qFormat/>
    <w:rsid w:val="00B364E8"/>
    <w:pPr>
      <w:widowControl w:val="0"/>
      <w:spacing w:line="240" w:lineRule="auto"/>
    </w:pPr>
    <w:rPr>
      <w:rFonts w:ascii="Calibri" w:eastAsia="Times New Roman" w:hAnsi="Calibri" w:cs="Times New Roman"/>
      <w:kern w:val="2"/>
      <w:sz w:val="24"/>
      <w:szCs w:val="24"/>
      <w:lang w:eastAsia="zh-CN"/>
    </w:rPr>
  </w:style>
  <w:style w:type="character" w:customStyle="1" w:styleId="TextocomentarioCar">
    <w:name w:val="Texto comentario Car"/>
    <w:basedOn w:val="Fuentedeprrafopredeter"/>
    <w:link w:val="Textocomentario"/>
    <w:uiPriority w:val="99"/>
    <w:semiHidden/>
    <w:qFormat/>
    <w:rsid w:val="00B364E8"/>
    <w:rPr>
      <w:rFonts w:ascii="Calibri" w:eastAsia="Times New Roman" w:hAnsi="Calibri" w:cs="Times New Roman"/>
      <w:kern w:val="2"/>
      <w:sz w:val="24"/>
      <w:szCs w:val="24"/>
      <w:lang w:val="eu-ES" w:eastAsia="zh-CN"/>
    </w:rPr>
  </w:style>
  <w:style w:type="character" w:styleId="Refdecomentario">
    <w:name w:val="annotation reference"/>
    <w:basedOn w:val="Fuentedeprrafopredeter"/>
    <w:uiPriority w:val="99"/>
    <w:semiHidden/>
    <w:unhideWhenUsed/>
    <w:rsid w:val="001B0CAA"/>
    <w:rPr>
      <w:sz w:val="16"/>
      <w:szCs w:val="16"/>
    </w:rPr>
  </w:style>
  <w:style w:type="paragraph" w:styleId="Asuntodelcomentario">
    <w:name w:val="annotation subject"/>
    <w:basedOn w:val="Textocomentario"/>
    <w:next w:val="Textocomentario"/>
    <w:link w:val="AsuntodelcomentarioCar"/>
    <w:uiPriority w:val="99"/>
    <w:semiHidden/>
    <w:unhideWhenUsed/>
    <w:rsid w:val="001B0CAA"/>
    <w:pPr>
      <w:widowControl/>
    </w:pPr>
    <w:rPr>
      <w:rFonts w:asciiTheme="minorHAnsi" w:eastAsiaTheme="minorHAnsi" w:hAnsiTheme="minorHAnsi" w:cstheme="minorBidi"/>
      <w:b/>
      <w:bCs/>
      <w:kern w:val="0"/>
      <w:sz w:val="20"/>
      <w:szCs w:val="20"/>
      <w:lang w:eastAsia="en-US"/>
    </w:rPr>
  </w:style>
  <w:style w:type="character" w:customStyle="1" w:styleId="AsuntodelcomentarioCar">
    <w:name w:val="Asunto del comentario Car"/>
    <w:basedOn w:val="TextocomentarioCar"/>
    <w:link w:val="Asuntodelcomentario"/>
    <w:uiPriority w:val="99"/>
    <w:semiHidden/>
    <w:rsid w:val="001B0CAA"/>
    <w:rPr>
      <w:rFonts w:ascii="Calibri" w:eastAsia="Times New Roman" w:hAnsi="Calibri" w:cs="Times New Roman"/>
      <w:b/>
      <w:bCs/>
      <w:kern w:val="2"/>
      <w:sz w:val="20"/>
      <w:szCs w:val="20"/>
      <w:lang w:val="eu-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BC0C41"/>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BC0C41"/>
    <w:rPr>
      <w:rFonts w:ascii="Times New Roman" w:eastAsia="Times New Roman" w:hAnsi="Times New Roman" w:cs="Times New Roman"/>
      <w:sz w:val="20"/>
      <w:szCs w:val="20"/>
      <w:lang w:val="eu-ES" w:eastAsia="es-ES"/>
    </w:rPr>
  </w:style>
  <w:style w:type="character" w:styleId="Refdenotaalpie">
    <w:name w:val="footnote reference"/>
    <w:rsid w:val="00BC0C41"/>
    <w:rPr>
      <w:vertAlign w:val="superscript"/>
    </w:rPr>
  </w:style>
  <w:style w:type="character" w:styleId="Hipervnculo">
    <w:name w:val="Hyperlink"/>
    <w:basedOn w:val="Fuentedeprrafopredeter"/>
    <w:uiPriority w:val="99"/>
    <w:unhideWhenUsed/>
    <w:rsid w:val="00BC0C41"/>
    <w:rPr>
      <w:color w:val="0000FF" w:themeColor="hyperlink"/>
      <w:u w:val="single"/>
    </w:rPr>
  </w:style>
  <w:style w:type="paragraph" w:styleId="Textoindependiente3">
    <w:name w:val="Body Text 3"/>
    <w:basedOn w:val="Normal"/>
    <w:link w:val="Textoindependiente3Car"/>
    <w:rsid w:val="00BC0C41"/>
    <w:pPr>
      <w:spacing w:after="0" w:line="240" w:lineRule="auto"/>
      <w:jc w:val="center"/>
    </w:pPr>
    <w:rPr>
      <w:rFonts w:ascii="Arial" w:eastAsia="SimSun" w:hAnsi="Arial" w:cs="Arial"/>
      <w:b/>
      <w:bCs/>
      <w:sz w:val="20"/>
      <w:szCs w:val="20"/>
      <w:lang w:eastAsia="es-ES"/>
    </w:rPr>
  </w:style>
  <w:style w:type="character" w:customStyle="1" w:styleId="Textoindependiente3Car">
    <w:name w:val="Texto independiente 3 Car"/>
    <w:basedOn w:val="Fuentedeprrafopredeter"/>
    <w:link w:val="Textoindependiente3"/>
    <w:rsid w:val="00BC0C41"/>
    <w:rPr>
      <w:rFonts w:ascii="Arial" w:eastAsia="SimSun" w:hAnsi="Arial" w:cs="Arial"/>
      <w:b/>
      <w:bCs/>
      <w:sz w:val="20"/>
      <w:szCs w:val="20"/>
      <w:lang w:eastAsia="es-ES"/>
    </w:rPr>
  </w:style>
  <w:style w:type="paragraph" w:customStyle="1" w:styleId="Default">
    <w:name w:val="Default"/>
    <w:rsid w:val="00BC0C4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Textodeglobo">
    <w:name w:val="Balloon Text"/>
    <w:basedOn w:val="Normal"/>
    <w:link w:val="TextodegloboCar"/>
    <w:uiPriority w:val="99"/>
    <w:semiHidden/>
    <w:unhideWhenUsed/>
    <w:rsid w:val="00305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BED"/>
    <w:rPr>
      <w:rFonts w:ascii="Tahoma" w:hAnsi="Tahoma" w:cs="Tahoma"/>
      <w:sz w:val="16"/>
      <w:szCs w:val="16"/>
    </w:rPr>
  </w:style>
  <w:style w:type="paragraph" w:customStyle="1" w:styleId="EndNoteBibliography">
    <w:name w:val="EndNote Bibliography"/>
    <w:basedOn w:val="Normal"/>
    <w:rsid w:val="000C1BB1"/>
    <w:pPr>
      <w:widowControl w:val="0"/>
      <w:spacing w:line="240" w:lineRule="auto"/>
    </w:pPr>
    <w:rPr>
      <w:rFonts w:ascii="Calibri" w:eastAsia="Times New Roman" w:hAnsi="Calibri" w:cs="Times New Roman"/>
      <w:kern w:val="2"/>
      <w:sz w:val="20"/>
      <w:lang w:eastAsia="zh-CN"/>
    </w:rPr>
  </w:style>
  <w:style w:type="paragraph" w:styleId="Prrafodelista">
    <w:name w:val="List Paragraph"/>
    <w:basedOn w:val="Normal"/>
    <w:uiPriority w:val="34"/>
    <w:qFormat/>
    <w:rsid w:val="00DB3D06"/>
    <w:pPr>
      <w:ind w:left="720"/>
      <w:contextualSpacing/>
    </w:pPr>
  </w:style>
  <w:style w:type="paragraph" w:styleId="NormalWeb">
    <w:name w:val="Normal (Web)"/>
    <w:basedOn w:val="Normal"/>
    <w:uiPriority w:val="99"/>
    <w:unhideWhenUsed/>
    <w:rsid w:val="00550E8C"/>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Textonotaalfinal">
    <w:name w:val="endnote text"/>
    <w:basedOn w:val="Normal"/>
    <w:link w:val="TextonotaalfinalCar"/>
    <w:uiPriority w:val="99"/>
    <w:semiHidden/>
    <w:unhideWhenUsed/>
    <w:rsid w:val="00313C3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13C31"/>
    <w:rPr>
      <w:sz w:val="20"/>
      <w:szCs w:val="20"/>
    </w:rPr>
  </w:style>
  <w:style w:type="character" w:styleId="Refdenotaalfinal">
    <w:name w:val="endnote reference"/>
    <w:basedOn w:val="Fuentedeprrafopredeter"/>
    <w:uiPriority w:val="99"/>
    <w:semiHidden/>
    <w:unhideWhenUsed/>
    <w:rsid w:val="00313C31"/>
    <w:rPr>
      <w:vertAlign w:val="superscript"/>
    </w:rPr>
  </w:style>
  <w:style w:type="character" w:styleId="Hipervnculovisitado">
    <w:name w:val="FollowedHyperlink"/>
    <w:basedOn w:val="Fuentedeprrafopredeter"/>
    <w:uiPriority w:val="99"/>
    <w:semiHidden/>
    <w:unhideWhenUsed/>
    <w:rsid w:val="005863A5"/>
    <w:rPr>
      <w:color w:val="800080" w:themeColor="followedHyperlink"/>
      <w:u w:val="single"/>
    </w:rPr>
  </w:style>
  <w:style w:type="paragraph" w:styleId="Textocomentario">
    <w:name w:val="annotation text"/>
    <w:basedOn w:val="Normal"/>
    <w:link w:val="TextocomentarioCar"/>
    <w:uiPriority w:val="99"/>
    <w:semiHidden/>
    <w:unhideWhenUsed/>
    <w:qFormat/>
    <w:rsid w:val="00B364E8"/>
    <w:pPr>
      <w:widowControl w:val="0"/>
      <w:spacing w:line="240" w:lineRule="auto"/>
    </w:pPr>
    <w:rPr>
      <w:rFonts w:ascii="Calibri" w:eastAsia="Times New Roman" w:hAnsi="Calibri" w:cs="Times New Roman"/>
      <w:kern w:val="2"/>
      <w:sz w:val="24"/>
      <w:szCs w:val="24"/>
      <w:lang w:eastAsia="zh-CN"/>
    </w:rPr>
  </w:style>
  <w:style w:type="character" w:customStyle="1" w:styleId="TextocomentarioCar">
    <w:name w:val="Texto comentario Car"/>
    <w:basedOn w:val="Fuentedeprrafopredeter"/>
    <w:link w:val="Textocomentario"/>
    <w:uiPriority w:val="99"/>
    <w:semiHidden/>
    <w:qFormat/>
    <w:rsid w:val="00B364E8"/>
    <w:rPr>
      <w:rFonts w:ascii="Calibri" w:eastAsia="Times New Roman" w:hAnsi="Calibri" w:cs="Times New Roman"/>
      <w:kern w:val="2"/>
      <w:sz w:val="24"/>
      <w:szCs w:val="24"/>
      <w:lang w:val="eu-ES" w:eastAsia="zh-CN"/>
    </w:rPr>
  </w:style>
  <w:style w:type="character" w:styleId="Refdecomentario">
    <w:name w:val="annotation reference"/>
    <w:basedOn w:val="Fuentedeprrafopredeter"/>
    <w:uiPriority w:val="99"/>
    <w:semiHidden/>
    <w:unhideWhenUsed/>
    <w:rsid w:val="001B0CAA"/>
    <w:rPr>
      <w:sz w:val="16"/>
      <w:szCs w:val="16"/>
    </w:rPr>
  </w:style>
  <w:style w:type="paragraph" w:styleId="Asuntodelcomentario">
    <w:name w:val="annotation subject"/>
    <w:basedOn w:val="Textocomentario"/>
    <w:next w:val="Textocomentario"/>
    <w:link w:val="AsuntodelcomentarioCar"/>
    <w:uiPriority w:val="99"/>
    <w:semiHidden/>
    <w:unhideWhenUsed/>
    <w:rsid w:val="001B0CAA"/>
    <w:pPr>
      <w:widowControl/>
    </w:pPr>
    <w:rPr>
      <w:rFonts w:asciiTheme="minorHAnsi" w:eastAsiaTheme="minorHAnsi" w:hAnsiTheme="minorHAnsi" w:cstheme="minorBidi"/>
      <w:b/>
      <w:bCs/>
      <w:kern w:val="0"/>
      <w:sz w:val="20"/>
      <w:szCs w:val="20"/>
      <w:lang w:eastAsia="en-US"/>
    </w:rPr>
  </w:style>
  <w:style w:type="character" w:customStyle="1" w:styleId="AsuntodelcomentarioCar">
    <w:name w:val="Asunto del comentario Car"/>
    <w:basedOn w:val="TextocomentarioCar"/>
    <w:link w:val="Asuntodelcomentario"/>
    <w:uiPriority w:val="99"/>
    <w:semiHidden/>
    <w:rsid w:val="001B0CAA"/>
    <w:rPr>
      <w:rFonts w:ascii="Calibri" w:eastAsia="Times New Roman" w:hAnsi="Calibri" w:cs="Times New Roman"/>
      <w:b/>
      <w:bCs/>
      <w:kern w:val="2"/>
      <w:sz w:val="20"/>
      <w:szCs w:val="20"/>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0704">
      <w:bodyDiv w:val="1"/>
      <w:marLeft w:val="0"/>
      <w:marRight w:val="0"/>
      <w:marTop w:val="0"/>
      <w:marBottom w:val="0"/>
      <w:divBdr>
        <w:top w:val="none" w:sz="0" w:space="0" w:color="auto"/>
        <w:left w:val="none" w:sz="0" w:space="0" w:color="auto"/>
        <w:bottom w:val="none" w:sz="0" w:space="0" w:color="auto"/>
        <w:right w:val="none" w:sz="0" w:space="0" w:color="auto"/>
      </w:divBdr>
    </w:div>
    <w:div w:id="124011549">
      <w:bodyDiv w:val="1"/>
      <w:marLeft w:val="0"/>
      <w:marRight w:val="0"/>
      <w:marTop w:val="0"/>
      <w:marBottom w:val="0"/>
      <w:divBdr>
        <w:top w:val="none" w:sz="0" w:space="0" w:color="auto"/>
        <w:left w:val="none" w:sz="0" w:space="0" w:color="auto"/>
        <w:bottom w:val="none" w:sz="0" w:space="0" w:color="auto"/>
        <w:right w:val="none" w:sz="0" w:space="0" w:color="auto"/>
      </w:divBdr>
    </w:div>
    <w:div w:id="218520007">
      <w:bodyDiv w:val="1"/>
      <w:marLeft w:val="0"/>
      <w:marRight w:val="0"/>
      <w:marTop w:val="0"/>
      <w:marBottom w:val="0"/>
      <w:divBdr>
        <w:top w:val="none" w:sz="0" w:space="0" w:color="auto"/>
        <w:left w:val="none" w:sz="0" w:space="0" w:color="auto"/>
        <w:bottom w:val="none" w:sz="0" w:space="0" w:color="auto"/>
        <w:right w:val="none" w:sz="0" w:space="0" w:color="auto"/>
      </w:divBdr>
    </w:div>
    <w:div w:id="292252272">
      <w:bodyDiv w:val="1"/>
      <w:marLeft w:val="0"/>
      <w:marRight w:val="0"/>
      <w:marTop w:val="0"/>
      <w:marBottom w:val="0"/>
      <w:divBdr>
        <w:top w:val="none" w:sz="0" w:space="0" w:color="auto"/>
        <w:left w:val="none" w:sz="0" w:space="0" w:color="auto"/>
        <w:bottom w:val="none" w:sz="0" w:space="0" w:color="auto"/>
        <w:right w:val="none" w:sz="0" w:space="0" w:color="auto"/>
      </w:divBdr>
    </w:div>
    <w:div w:id="574707698">
      <w:bodyDiv w:val="1"/>
      <w:marLeft w:val="0"/>
      <w:marRight w:val="0"/>
      <w:marTop w:val="0"/>
      <w:marBottom w:val="0"/>
      <w:divBdr>
        <w:top w:val="none" w:sz="0" w:space="0" w:color="auto"/>
        <w:left w:val="none" w:sz="0" w:space="0" w:color="auto"/>
        <w:bottom w:val="none" w:sz="0" w:space="0" w:color="auto"/>
        <w:right w:val="none" w:sz="0" w:space="0" w:color="auto"/>
      </w:divBdr>
      <w:divsChild>
        <w:div w:id="555623379">
          <w:marLeft w:val="0"/>
          <w:marRight w:val="0"/>
          <w:marTop w:val="0"/>
          <w:marBottom w:val="0"/>
          <w:divBdr>
            <w:top w:val="none" w:sz="0" w:space="0" w:color="auto"/>
            <w:left w:val="none" w:sz="0" w:space="0" w:color="auto"/>
            <w:bottom w:val="none" w:sz="0" w:space="0" w:color="auto"/>
            <w:right w:val="none" w:sz="0" w:space="0" w:color="auto"/>
          </w:divBdr>
        </w:div>
        <w:div w:id="1944612055">
          <w:marLeft w:val="0"/>
          <w:marRight w:val="0"/>
          <w:marTop w:val="0"/>
          <w:marBottom w:val="0"/>
          <w:divBdr>
            <w:top w:val="none" w:sz="0" w:space="0" w:color="auto"/>
            <w:left w:val="none" w:sz="0" w:space="0" w:color="auto"/>
            <w:bottom w:val="none" w:sz="0" w:space="0" w:color="auto"/>
            <w:right w:val="none" w:sz="0" w:space="0" w:color="auto"/>
          </w:divBdr>
        </w:div>
        <w:div w:id="253975566">
          <w:marLeft w:val="0"/>
          <w:marRight w:val="0"/>
          <w:marTop w:val="0"/>
          <w:marBottom w:val="0"/>
          <w:divBdr>
            <w:top w:val="none" w:sz="0" w:space="0" w:color="auto"/>
            <w:left w:val="none" w:sz="0" w:space="0" w:color="auto"/>
            <w:bottom w:val="none" w:sz="0" w:space="0" w:color="auto"/>
            <w:right w:val="none" w:sz="0" w:space="0" w:color="auto"/>
          </w:divBdr>
        </w:div>
      </w:divsChild>
    </w:div>
    <w:div w:id="664938252">
      <w:bodyDiv w:val="1"/>
      <w:marLeft w:val="0"/>
      <w:marRight w:val="0"/>
      <w:marTop w:val="0"/>
      <w:marBottom w:val="0"/>
      <w:divBdr>
        <w:top w:val="none" w:sz="0" w:space="0" w:color="auto"/>
        <w:left w:val="none" w:sz="0" w:space="0" w:color="auto"/>
        <w:bottom w:val="none" w:sz="0" w:space="0" w:color="auto"/>
        <w:right w:val="none" w:sz="0" w:space="0" w:color="auto"/>
      </w:divBdr>
    </w:div>
    <w:div w:id="1475635688">
      <w:bodyDiv w:val="1"/>
      <w:marLeft w:val="0"/>
      <w:marRight w:val="0"/>
      <w:marTop w:val="0"/>
      <w:marBottom w:val="0"/>
      <w:divBdr>
        <w:top w:val="none" w:sz="0" w:space="0" w:color="auto"/>
        <w:left w:val="none" w:sz="0" w:space="0" w:color="auto"/>
        <w:bottom w:val="none" w:sz="0" w:space="0" w:color="auto"/>
        <w:right w:val="none" w:sz="0" w:space="0" w:color="auto"/>
      </w:divBdr>
    </w:div>
    <w:div w:id="1897888302">
      <w:bodyDiv w:val="1"/>
      <w:marLeft w:val="0"/>
      <w:marRight w:val="0"/>
      <w:marTop w:val="0"/>
      <w:marBottom w:val="0"/>
      <w:divBdr>
        <w:top w:val="none" w:sz="0" w:space="0" w:color="auto"/>
        <w:left w:val="none" w:sz="0" w:space="0" w:color="auto"/>
        <w:bottom w:val="none" w:sz="0" w:space="0" w:color="auto"/>
        <w:right w:val="none" w:sz="0" w:space="0" w:color="auto"/>
      </w:divBdr>
    </w:div>
    <w:div w:id="200130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lobocan.iarc.fr/Default.aspx" TargetMode="External"/><Relationship Id="rId18" Type="http://schemas.openxmlformats.org/officeDocument/2006/relationships/hyperlink" Target="http://www.cribadocancer.es/index.php/cancer-colorrectal" TargetMode="External"/><Relationship Id="rId3" Type="http://schemas.openxmlformats.org/officeDocument/2006/relationships/styles" Target="styles.xml"/><Relationship Id="rId21" Type="http://schemas.openxmlformats.org/officeDocument/2006/relationships/hyperlink" Target="https://www.ncbi.nlm.nih.gov/pubmed/19032211"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osakidetza.euskadi.eus/contenidos/informacion/deteccion_cancer_colorrectal/es_def/adjuntos/PROGRAMA2017.pdf" TargetMode="External"/><Relationship Id="rId2" Type="http://schemas.openxmlformats.org/officeDocument/2006/relationships/numbering" Target="numbering.xml"/><Relationship Id="rId16" Type="http://schemas.openxmlformats.org/officeDocument/2006/relationships/hyperlink" Target="http://ec.europa.eu/health/ph_determinants/genetics/documents/cancer_screening.pdf" TargetMode="External"/><Relationship Id="rId20" Type="http://schemas.openxmlformats.org/officeDocument/2006/relationships/hyperlink" Target="https://ec.europa.eu/health/sites/health/files/major_chronic_diseases/docs/2017_cancerscreening_2ndreportimplementation_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oe.es/boe/dias/2014/11/06/pdfs/BOE-A-2014-11444.pdf"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cancerstaging.org/references-tools/quickreferences/Documents/ColonMedium.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bibliotekak.euskadi.eus/WebOpac" TargetMode="External"/><Relationship Id="rId22" Type="http://schemas.openxmlformats.org/officeDocument/2006/relationships/hyperlink" Target="https://doi.org/10.1186/s12885-018-4362-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Hoja1!$B$1</c:f>
              <c:strCache>
                <c:ptCount val="1"/>
                <c:pt idx="0">
                  <c:v>GIZONAK</c:v>
                </c:pt>
              </c:strCache>
            </c:strRef>
          </c:tx>
          <c:spPr>
            <a:ln w="22225">
              <a:prstDash val="sysDash"/>
              <a:headEnd w="sm" len="sm"/>
              <a:tailEnd w="sm" len="sm"/>
            </a:ln>
          </c:spPr>
          <c:marker>
            <c:symbol val="diamond"/>
            <c:size val="4"/>
            <c:spPr>
              <a:ln w="28575">
                <a:prstDash val="lgDashDot"/>
              </a:ln>
            </c:spPr>
          </c:marker>
          <c:dLbls>
            <c:dLbl>
              <c:idx val="1"/>
              <c:layout>
                <c:manualLayout>
                  <c:x val="-1.3623472535186641E-2"/>
                  <c:y val="5.1873321264957487E-2"/>
                </c:manualLayout>
              </c:layout>
              <c:showLegendKey val="0"/>
              <c:showVal val="1"/>
              <c:showCatName val="0"/>
              <c:showSerName val="0"/>
              <c:showPercent val="0"/>
              <c:showBubbleSize val="0"/>
            </c:dLbl>
            <c:dLbl>
              <c:idx val="2"/>
              <c:layout>
                <c:manualLayout>
                  <c:x val="-1.0898778028149363E-2"/>
                  <c:y val="5.7060653391453234E-2"/>
                </c:manualLayout>
              </c:layout>
              <c:showLegendKey val="0"/>
              <c:showVal val="1"/>
              <c:showCatName val="0"/>
              <c:showSerName val="0"/>
              <c:showPercent val="0"/>
              <c:showBubbleSize val="0"/>
            </c:dLbl>
            <c:dLbl>
              <c:idx val="3"/>
              <c:layout>
                <c:manualLayout>
                  <c:x val="-2.1797556056298625E-2"/>
                  <c:y val="4.1498657011966041E-2"/>
                </c:manualLayout>
              </c:layout>
              <c:showLegendKey val="0"/>
              <c:showVal val="1"/>
              <c:showCatName val="0"/>
              <c:showSerName val="0"/>
              <c:showPercent val="0"/>
              <c:showBubbleSize val="0"/>
            </c:dLbl>
            <c:dLbl>
              <c:idx val="4"/>
              <c:layout>
                <c:manualLayout>
                  <c:x val="-1.0898778028149312E-2"/>
                  <c:y val="6.2247985517948988E-2"/>
                </c:manualLayout>
              </c:layout>
              <c:showLegendKey val="0"/>
              <c:showVal val="1"/>
              <c:showCatName val="0"/>
              <c:showSerName val="0"/>
              <c:showPercent val="0"/>
              <c:showBubbleSize val="0"/>
            </c:dLbl>
            <c:dLbl>
              <c:idx val="5"/>
              <c:layout>
                <c:manualLayout>
                  <c:x val="-1.3623472535186641E-2"/>
                  <c:y val="6.2247985517948988E-2"/>
                </c:manualLayout>
              </c:layout>
              <c:showLegendKey val="0"/>
              <c:showVal val="1"/>
              <c:showCatName val="0"/>
              <c:showSerName val="0"/>
              <c:showPercent val="0"/>
              <c:showBubbleSize val="0"/>
            </c:dLbl>
            <c:dLbl>
              <c:idx val="6"/>
              <c:layout>
                <c:manualLayout>
                  <c:x val="-2.997163957741061E-2"/>
                  <c:y val="5.7060653391453234E-2"/>
                </c:manualLayout>
              </c:layout>
              <c:showLegendKey val="0"/>
              <c:showVal val="1"/>
              <c:showCatName val="0"/>
              <c:showSerName val="0"/>
              <c:showPercent val="0"/>
              <c:showBubbleSize val="0"/>
            </c:dLbl>
            <c:dLbl>
              <c:idx val="7"/>
              <c:layout>
                <c:manualLayout>
                  <c:x val="-2.7246945070373281E-3"/>
                  <c:y val="4.668598913846173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Hoja1!$A$2:$A$9</c:f>
              <c:numCache>
                <c:formatCode>General</c:formatCode>
                <c:ptCount val="8"/>
                <c:pt idx="0">
                  <c:v>2009</c:v>
                </c:pt>
                <c:pt idx="1">
                  <c:v>2010</c:v>
                </c:pt>
                <c:pt idx="2">
                  <c:v>2011</c:v>
                </c:pt>
                <c:pt idx="3">
                  <c:v>2012</c:v>
                </c:pt>
                <c:pt idx="4">
                  <c:v>2013</c:v>
                </c:pt>
                <c:pt idx="5">
                  <c:v>2014</c:v>
                </c:pt>
                <c:pt idx="6">
                  <c:v>2015</c:v>
                </c:pt>
                <c:pt idx="7">
                  <c:v>2016</c:v>
                </c:pt>
              </c:numCache>
            </c:numRef>
          </c:cat>
          <c:val>
            <c:numRef>
              <c:f>Hoja1!$B$2:$B$9</c:f>
              <c:numCache>
                <c:formatCode>General</c:formatCode>
                <c:ptCount val="8"/>
                <c:pt idx="0">
                  <c:v>54.9</c:v>
                </c:pt>
                <c:pt idx="1">
                  <c:v>62.7</c:v>
                </c:pt>
                <c:pt idx="2">
                  <c:v>62.9</c:v>
                </c:pt>
                <c:pt idx="3">
                  <c:v>64.900000000000006</c:v>
                </c:pt>
                <c:pt idx="4">
                  <c:v>67.099999999999994</c:v>
                </c:pt>
                <c:pt idx="5">
                  <c:v>68.2</c:v>
                </c:pt>
                <c:pt idx="6">
                  <c:v>67.900000000000006</c:v>
                </c:pt>
                <c:pt idx="7">
                  <c:v>69.900000000000006</c:v>
                </c:pt>
              </c:numCache>
            </c:numRef>
          </c:val>
          <c:smooth val="0"/>
        </c:ser>
        <c:ser>
          <c:idx val="1"/>
          <c:order val="1"/>
          <c:tx>
            <c:strRef>
              <c:f>Hoja1!$C$1</c:f>
              <c:strCache>
                <c:ptCount val="1"/>
                <c:pt idx="0">
                  <c:v>EMAKUMEAK</c:v>
                </c:pt>
              </c:strCache>
            </c:strRef>
          </c:tx>
          <c:spPr>
            <a:ln w="28575">
              <a:prstDash val="sysDot"/>
            </a:ln>
          </c:spPr>
          <c:marker>
            <c:symbol val="square"/>
            <c:size val="4"/>
            <c:spPr>
              <a:solidFill>
                <a:schemeClr val="accent2">
                  <a:lumMod val="75000"/>
                </a:schemeClr>
              </a:solidFill>
              <a:ln w="28575"/>
            </c:spPr>
          </c:marker>
          <c:dLbls>
            <c:dLbl>
              <c:idx val="0"/>
              <c:layout>
                <c:manualLayout>
                  <c:x val="-3.8145723098522578E-2"/>
                  <c:y val="-6.2247985517948988E-2"/>
                </c:manualLayout>
              </c:layout>
              <c:showLegendKey val="0"/>
              <c:showVal val="1"/>
              <c:showCatName val="0"/>
              <c:showSerName val="0"/>
              <c:showPercent val="0"/>
              <c:showBubbleSize val="0"/>
            </c:dLbl>
            <c:dLbl>
              <c:idx val="1"/>
              <c:layout>
                <c:manualLayout>
                  <c:x val="-4.3595112112597249E-2"/>
                  <c:y val="-5.7060653391453234E-2"/>
                </c:manualLayout>
              </c:layout>
              <c:showLegendKey val="0"/>
              <c:showVal val="1"/>
              <c:showCatName val="0"/>
              <c:showSerName val="0"/>
              <c:showPercent val="0"/>
              <c:showBubbleSize val="0"/>
            </c:dLbl>
            <c:dLbl>
              <c:idx val="2"/>
              <c:layout>
                <c:manualLayout>
                  <c:x val="-4.9044501126671955E-2"/>
                  <c:y val="-6.7435317644444728E-2"/>
                </c:manualLayout>
              </c:layout>
              <c:showLegendKey val="0"/>
              <c:showVal val="1"/>
              <c:showCatName val="0"/>
              <c:showSerName val="0"/>
              <c:showPercent val="0"/>
              <c:showBubbleSize val="0"/>
            </c:dLbl>
            <c:dLbl>
              <c:idx val="3"/>
              <c:layout>
                <c:manualLayout>
                  <c:x val="-3.5421028591485264E-2"/>
                  <c:y val="-6.2247985517949009E-2"/>
                </c:manualLayout>
              </c:layout>
              <c:showLegendKey val="0"/>
              <c:showVal val="1"/>
              <c:showCatName val="0"/>
              <c:showSerName val="0"/>
              <c:showPercent val="0"/>
              <c:showBubbleSize val="0"/>
            </c:dLbl>
            <c:dLbl>
              <c:idx val="4"/>
              <c:layout>
                <c:manualLayout>
                  <c:x val="-5.4493890140746563E-2"/>
                  <c:y val="-7.7809981897436237E-2"/>
                </c:manualLayout>
              </c:layout>
              <c:showLegendKey val="0"/>
              <c:showVal val="1"/>
              <c:showCatName val="0"/>
              <c:showSerName val="0"/>
              <c:showPercent val="0"/>
              <c:showBubbleSize val="0"/>
            </c:dLbl>
            <c:dLbl>
              <c:idx val="5"/>
              <c:layout>
                <c:manualLayout>
                  <c:x val="-4.6319806619634578E-2"/>
                  <c:y val="-5.7060653391453234E-2"/>
                </c:manualLayout>
              </c:layout>
              <c:showLegendKey val="0"/>
              <c:showVal val="1"/>
              <c:showCatName val="0"/>
              <c:showSerName val="0"/>
              <c:showPercent val="0"/>
              <c:showBubbleSize val="0"/>
            </c:dLbl>
            <c:dLbl>
              <c:idx val="6"/>
              <c:layout>
                <c:manualLayout>
                  <c:x val="-3.8145723098522592E-2"/>
                  <c:y val="-6.7435317644444728E-2"/>
                </c:manualLayout>
              </c:layout>
              <c:showLegendKey val="0"/>
              <c:showVal val="1"/>
              <c:showCatName val="0"/>
              <c:showSerName val="0"/>
              <c:showPercent val="0"/>
              <c:showBubbleSize val="0"/>
            </c:dLbl>
            <c:dLbl>
              <c:idx val="7"/>
              <c:layout>
                <c:manualLayout>
                  <c:x val="-3.8145723098522592E-2"/>
                  <c:y val="-8.299731402393198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Hoja1!$A$2:$A$9</c:f>
              <c:numCache>
                <c:formatCode>General</c:formatCode>
                <c:ptCount val="8"/>
                <c:pt idx="0">
                  <c:v>2009</c:v>
                </c:pt>
                <c:pt idx="1">
                  <c:v>2010</c:v>
                </c:pt>
                <c:pt idx="2">
                  <c:v>2011</c:v>
                </c:pt>
                <c:pt idx="3">
                  <c:v>2012</c:v>
                </c:pt>
                <c:pt idx="4">
                  <c:v>2013</c:v>
                </c:pt>
                <c:pt idx="5">
                  <c:v>2014</c:v>
                </c:pt>
                <c:pt idx="6">
                  <c:v>2015</c:v>
                </c:pt>
                <c:pt idx="7">
                  <c:v>2016</c:v>
                </c:pt>
              </c:numCache>
            </c:numRef>
          </c:cat>
          <c:val>
            <c:numRef>
              <c:f>Hoja1!$C$2:$C$9</c:f>
              <c:numCache>
                <c:formatCode>General</c:formatCode>
                <c:ptCount val="8"/>
                <c:pt idx="0">
                  <c:v>61.3</c:v>
                </c:pt>
                <c:pt idx="1">
                  <c:v>68</c:v>
                </c:pt>
                <c:pt idx="2">
                  <c:v>68.7</c:v>
                </c:pt>
                <c:pt idx="3">
                  <c:v>70.3</c:v>
                </c:pt>
                <c:pt idx="4">
                  <c:v>72.099999999999994</c:v>
                </c:pt>
                <c:pt idx="5">
                  <c:v>73</c:v>
                </c:pt>
                <c:pt idx="6">
                  <c:v>72.599999999999994</c:v>
                </c:pt>
                <c:pt idx="7">
                  <c:v>74.400000000000006</c:v>
                </c:pt>
              </c:numCache>
            </c:numRef>
          </c:val>
          <c:smooth val="0"/>
        </c:ser>
        <c:ser>
          <c:idx val="2"/>
          <c:order val="2"/>
          <c:tx>
            <c:strRef>
              <c:f>Hoja1!$D$1</c:f>
              <c:strCache>
                <c:ptCount val="1"/>
                <c:pt idx="0">
                  <c:v>ERABATEKOA</c:v>
                </c:pt>
              </c:strCache>
            </c:strRef>
          </c:tx>
          <c:spPr>
            <a:ln w="22225"/>
          </c:spPr>
          <c:marker>
            <c:symbol val="triangle"/>
            <c:size val="4"/>
            <c:spPr>
              <a:ln w="28575"/>
            </c:spPr>
          </c:marker>
          <c:dLbls>
            <c:dLbl>
              <c:idx val="0"/>
              <c:layout>
                <c:manualLayout>
                  <c:x val="-7.0842057182970514E-2"/>
                  <c:y val="5.187332126495749E-3"/>
                </c:manualLayout>
              </c:layout>
              <c:showLegendKey val="0"/>
              <c:showVal val="1"/>
              <c:showCatName val="0"/>
              <c:showSerName val="0"/>
              <c:showPercent val="0"/>
              <c:showBubbleSize val="0"/>
            </c:dLbl>
            <c:dLbl>
              <c:idx val="7"/>
              <c:layout>
                <c:manualLayout>
                  <c:x val="-5.4493890140746562E-3"/>
                  <c:y val="-1.037466425299149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Hoja1!$A$2:$A$9</c:f>
              <c:numCache>
                <c:formatCode>General</c:formatCode>
                <c:ptCount val="8"/>
                <c:pt idx="0">
                  <c:v>2009</c:v>
                </c:pt>
                <c:pt idx="1">
                  <c:v>2010</c:v>
                </c:pt>
                <c:pt idx="2">
                  <c:v>2011</c:v>
                </c:pt>
                <c:pt idx="3">
                  <c:v>2012</c:v>
                </c:pt>
                <c:pt idx="4">
                  <c:v>2013</c:v>
                </c:pt>
                <c:pt idx="5">
                  <c:v>2014</c:v>
                </c:pt>
                <c:pt idx="6">
                  <c:v>2015</c:v>
                </c:pt>
                <c:pt idx="7">
                  <c:v>2016</c:v>
                </c:pt>
              </c:numCache>
            </c:numRef>
          </c:cat>
          <c:val>
            <c:numRef>
              <c:f>Hoja1!$D$2:$D$9</c:f>
              <c:numCache>
                <c:formatCode>General</c:formatCode>
                <c:ptCount val="8"/>
                <c:pt idx="0">
                  <c:v>58.1</c:v>
                </c:pt>
                <c:pt idx="1">
                  <c:v>65.5</c:v>
                </c:pt>
                <c:pt idx="2">
                  <c:v>65.8</c:v>
                </c:pt>
                <c:pt idx="3">
                  <c:v>67.7</c:v>
                </c:pt>
                <c:pt idx="4">
                  <c:v>69.7</c:v>
                </c:pt>
                <c:pt idx="5">
                  <c:v>70.7</c:v>
                </c:pt>
                <c:pt idx="6">
                  <c:v>70.3</c:v>
                </c:pt>
                <c:pt idx="7">
                  <c:v>71.3</c:v>
                </c:pt>
              </c:numCache>
            </c:numRef>
          </c:val>
          <c:smooth val="0"/>
        </c:ser>
        <c:dLbls>
          <c:showLegendKey val="0"/>
          <c:showVal val="0"/>
          <c:showCatName val="0"/>
          <c:showSerName val="0"/>
          <c:showPercent val="0"/>
          <c:showBubbleSize val="0"/>
        </c:dLbls>
        <c:marker val="1"/>
        <c:smooth val="0"/>
        <c:axId val="74529792"/>
        <c:axId val="95044736"/>
      </c:lineChart>
      <c:catAx>
        <c:axId val="74529792"/>
        <c:scaling>
          <c:orientation val="minMax"/>
        </c:scaling>
        <c:delete val="0"/>
        <c:axPos val="b"/>
        <c:numFmt formatCode="General" sourceLinked="1"/>
        <c:majorTickMark val="out"/>
        <c:minorTickMark val="none"/>
        <c:tickLblPos val="nextTo"/>
        <c:crossAx val="95044736"/>
        <c:crossesAt val="50"/>
        <c:auto val="1"/>
        <c:lblAlgn val="ctr"/>
        <c:lblOffset val="100"/>
        <c:noMultiLvlLbl val="0"/>
      </c:catAx>
      <c:valAx>
        <c:axId val="95044736"/>
        <c:scaling>
          <c:orientation val="minMax"/>
          <c:min val="5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General" sourceLinked="1"/>
        <c:majorTickMark val="out"/>
        <c:minorTickMark val="none"/>
        <c:tickLblPos val="nextTo"/>
        <c:crossAx val="74529792"/>
        <c:crosses val="autoZero"/>
        <c:crossBetween val="between"/>
        <c:majorUnit val="2"/>
      </c:valAx>
    </c:plotArea>
    <c:legend>
      <c:legendPos val="b"/>
      <c:layout>
        <c:manualLayout>
          <c:xMode val="edge"/>
          <c:yMode val="edge"/>
          <c:x val="0.15384668196449461"/>
          <c:y val="0.93906976939113529"/>
          <c:w val="0.79857698513082809"/>
          <c:h val="6.0930230608864586E-2"/>
        </c:manualLayout>
      </c:layout>
      <c:overlay val="0"/>
    </c:legend>
    <c:plotVisOnly val="1"/>
    <c:dispBlanksAs val="gap"/>
    <c:showDLblsOverMax val="0"/>
  </c:chart>
  <c:spPr>
    <a:solidFill>
      <a:schemeClr val="bg1"/>
    </a:solidFill>
    <a:ln>
      <a:solidFill>
        <a:schemeClr val="tx1"/>
      </a:solidFill>
    </a:ln>
  </c:spPr>
  <c:txPr>
    <a:bodyPr/>
    <a:lstStyle/>
    <a:p>
      <a:pPr>
        <a:defRPr sz="800"/>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1AE1-4F68-432D-B6D2-4BF4CB36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15</Pages>
  <Words>5623</Words>
  <Characters>30931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Osakidetza</Company>
  <LinksUpToDate>false</LinksUpToDate>
  <CharactersWithSpaces>36482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ISABEL PORTILLO VILLARES</dc:creator>
  <cp:lastModifiedBy>M ISABEL PORTILLO VILLARES</cp:lastModifiedBy>
  <cp:revision>20</cp:revision>
  <dcterms:created xsi:type="dcterms:W3CDTF">2018-05-09T10:36:00Z</dcterms:created>
  <dcterms:modified xsi:type="dcterms:W3CDTF">2018-05-25T11:33:00Z</dcterms:modified>
</cp:coreProperties>
</file>