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1"/>
        <w:widowControl w:val="0"/>
        <w:spacing w:after="100" w:before="100" w:line="360" w:lineRule="auto"/>
        <w:contextualSpacing w:val="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¿ERANGIKORRA AL DA PNEUMOKOKOAREN AURKAKO TXERTOA KONPLIKAZIOEN PREBENTZIOAN?</w:t>
      </w:r>
    </w:p>
    <w:tbl>
      <w:tblPr>
        <w:tblStyle w:val="Table1"/>
        <w:tblW w:w="9840.0" w:type="dxa"/>
        <w:jc w:val="left"/>
        <w:tblInd w:w="23.0" w:type="dxa"/>
        <w:tblLayout w:type="fixed"/>
        <w:tblLook w:val="0400"/>
      </w:tblPr>
      <w:tblGrid>
        <w:gridCol w:w="9840"/>
        <w:tblGridChange w:id="0">
          <w:tblGrid>
            <w:gridCol w:w="9840"/>
          </w:tblGrid>
        </w:tblGridChange>
      </w:tblGrid>
      <w:tr>
        <w:tc>
          <w:tcPr>
            <w:tcBorders>
              <w:top w:color="b6d7a8" w:space="0" w:sz="6" w:val="single"/>
              <w:left w:color="b6d7a8" w:space="0" w:sz="6" w:val="single"/>
              <w:bottom w:color="b6d7a8" w:space="0" w:sz="6" w:val="single"/>
              <w:right w:color="b6d7a8" w:space="0" w:sz="6" w:val="single"/>
            </w:tcBorders>
            <w:shd w:fill="b6d7a8" w:val="clear"/>
            <w:vAlign w:val="center"/>
          </w:tcPr>
          <w:p w:rsidR="00000000" w:rsidDel="00000000" w:rsidP="00000000" w:rsidRDefault="00000000" w:rsidRPr="00000000" w14:paraId="00000001">
            <w:pPr>
              <w:widowControl w:val="0"/>
              <w:spacing w:after="100" w:before="100" w:line="360" w:lineRule="auto"/>
              <w:ind w:left="249.0000000000001" w:right="305.99999999999966" w:firstLine="0"/>
              <w:contextualSpacing w:val="0"/>
              <w:jc w:val="both"/>
              <w:rPr>
                <w:rFonts w:ascii="Calibri" w:cs="Calibri" w:eastAsia="Calibri" w:hAnsi="Calibri"/>
                <w:b w:val="1"/>
              </w:rPr>
            </w:pPr>
            <w:r w:rsidDel="00000000" w:rsidR="00000000" w:rsidRPr="00000000">
              <w:rPr>
                <w:rFonts w:ascii="Calibri" w:cs="Calibri" w:eastAsia="Calibri" w:hAnsi="Calibri"/>
                <w:b w:val="1"/>
                <w:rtl w:val="0"/>
              </w:rPr>
              <w:t xml:space="preserve">13-balentziako pneumokokoaren aurkako txerto polisakarido konjugatuak (13TPK), nahiz eta oso magnitude txikian izan, txertoak barne hartzen dituen serotipoek eragindako pneumonia pneumokozikoa (PP) eta gaixotasun pneumokoziko inbaditzailea (GPI) prebenitzen ditu 65 urtetik gorako helduetan, baita edozein serotipok eragindako pneumonia pneumokozikoak ere. Ez du gutxitzen komunitatean hartutako pneumonia (KHP) totalaren intzidentziarik. Ez dago datu nahikorik hilkortasunaren gainean duen eragina aztertzeko.</w:t>
            </w:r>
            <w:r w:rsidDel="00000000" w:rsidR="00000000" w:rsidRPr="00000000">
              <w:rPr>
                <w:rtl w:val="0"/>
              </w:rPr>
            </w:r>
          </w:p>
        </w:tc>
      </w:tr>
    </w:tbl>
    <w:p w:rsidR="00000000" w:rsidDel="00000000" w:rsidP="00000000" w:rsidRDefault="00000000" w:rsidRPr="00000000" w14:paraId="00000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both"/>
        <w:rPr>
          <w:rFonts w:ascii="Calibri" w:cs="Calibri" w:eastAsia="Calibri" w:hAnsi="Calibri"/>
          <w:b w:val="1"/>
          <w:color w:val="666666"/>
          <w:sz w:val="20"/>
          <w:szCs w:val="20"/>
        </w:rPr>
      </w:pPr>
      <w:r w:rsidDel="00000000" w:rsidR="00000000" w:rsidRPr="00000000">
        <w:rPr>
          <w:rtl w:val="0"/>
        </w:rPr>
      </w:r>
    </w:p>
    <w:p w:rsidR="00000000" w:rsidDel="00000000" w:rsidP="00000000" w:rsidRDefault="00000000" w:rsidRPr="00000000" w14:paraId="00000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both"/>
        <w:rPr>
          <w:rFonts w:ascii="Calibri" w:cs="Calibri" w:eastAsia="Calibri" w:hAnsi="Calibri"/>
          <w:color w:val="666666"/>
          <w:sz w:val="18"/>
          <w:szCs w:val="18"/>
        </w:rPr>
      </w:pPr>
      <w:r w:rsidDel="00000000" w:rsidR="00000000" w:rsidRPr="00000000">
        <w:rPr>
          <w:rFonts w:ascii="Calibri" w:cs="Calibri" w:eastAsia="Calibri" w:hAnsi="Calibri"/>
          <w:b w:val="1"/>
          <w:color w:val="666666"/>
          <w:rtl w:val="0"/>
        </w:rPr>
        <w:t xml:space="preserve">Jatorrizko Erreferentzia:</w:t>
      </w:r>
      <w:r w:rsidDel="00000000" w:rsidR="00000000" w:rsidRPr="00000000">
        <w:rPr>
          <w:rFonts w:ascii="Calibri" w:cs="Calibri" w:eastAsia="Calibri" w:hAnsi="Calibri"/>
          <w:color w:val="666666"/>
          <w:sz w:val="18"/>
          <w:szCs w:val="18"/>
          <w:rtl w:val="0"/>
        </w:rPr>
        <w:t xml:space="preserve"> Bonten MJ, Huijts SM, Bolkenbaas M, Webber C, Patterson S, Gault S, van Werkhoven CH, van Deursen AM, Sanders EA, Verheij TJ, Patton M, McDonough A,Moradoghli-Haftvani A, Smith H, Mellelieu T, Pride MW, Crowther G, Schmoele-ThomaB, Scott DA, Jansen KU, Lobatto R, Oosterman B, Visser N, Caspers E, Smorenburg A, Emini EA, Gruber WC, Grobbee DE. Polysaccharide conjugate vaccine against pneumococcal pneumonia in adults. N Engl J Med. 2015 Mar 19;372(12):1114-25. </w:t>
      </w:r>
    </w:p>
    <w:p w:rsidR="00000000" w:rsidDel="00000000" w:rsidP="00000000" w:rsidRDefault="00000000" w:rsidRPr="00000000" w14:paraId="00000004">
      <w:pPr>
        <w:spacing w:line="240" w:lineRule="auto"/>
        <w:contextualSpacing w:val="0"/>
        <w:rPr/>
      </w:pPr>
      <w:r w:rsidDel="00000000" w:rsidR="00000000" w:rsidRPr="00000000">
        <w:rPr>
          <w:rtl w:val="0"/>
        </w:rPr>
      </w:r>
    </w:p>
    <w:p w:rsidR="00000000" w:rsidDel="00000000" w:rsidP="00000000" w:rsidRDefault="00000000" w:rsidRPr="00000000" w14:paraId="00000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Calibri" w:cs="Calibri" w:eastAsia="Calibri" w:hAnsi="Calibri"/>
          <w:b w:val="1"/>
        </w:rPr>
      </w:pPr>
      <w:r w:rsidDel="00000000" w:rsidR="00000000" w:rsidRPr="00000000">
        <w:rPr>
          <w:rFonts w:ascii="Calibri" w:cs="Calibri" w:eastAsia="Calibri" w:hAnsi="Calibri"/>
          <w:b w:val="1"/>
          <w:rtl w:val="0"/>
        </w:rPr>
        <w:t xml:space="preserve">Kritikoki aztertutako testuaren egileak:</w:t>
      </w:r>
    </w:p>
    <w:p w:rsidR="00000000" w:rsidDel="00000000" w:rsidP="00000000" w:rsidRDefault="00000000" w:rsidRPr="00000000" w14:paraId="0000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Calibri" w:cs="Calibri" w:eastAsia="Calibri" w:hAnsi="Calibri"/>
          <w:vertAlign w:val="superscript"/>
        </w:rPr>
      </w:pPr>
      <w:r w:rsidDel="00000000" w:rsidR="00000000" w:rsidRPr="00000000">
        <w:rPr>
          <w:rFonts w:ascii="Calibri" w:cs="Calibri" w:eastAsia="Calibri" w:hAnsi="Calibri"/>
          <w:rtl w:val="0"/>
        </w:rPr>
        <w:t xml:space="preserve">Ina Idarreta Mendiola </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Miren Zubillaga Idarreta </w:t>
      </w:r>
      <w:r w:rsidDel="00000000" w:rsidR="00000000" w:rsidRPr="00000000">
        <w:rPr>
          <w:rFonts w:ascii="Calibri" w:cs="Calibri" w:eastAsia="Calibri" w:hAnsi="Calibri"/>
          <w:vertAlign w:val="superscript"/>
          <w:rtl w:val="0"/>
        </w:rPr>
        <w:t xml:space="preserve">2</w:t>
      </w:r>
    </w:p>
    <w:p w:rsidR="00000000" w:rsidDel="00000000" w:rsidP="00000000" w:rsidRDefault="00000000" w:rsidRPr="00000000" w14:paraId="00000007">
      <w:pPr>
        <w:widowControl w:val="0"/>
        <w:spacing w:after="240" w:before="100" w:line="240" w:lineRule="auto"/>
        <w:contextualSpacing w:val="0"/>
        <w:jc w:val="both"/>
        <w:rPr>
          <w:rFonts w:ascii="Calibri" w:cs="Calibri" w:eastAsia="Calibri" w:hAnsi="Calibri"/>
          <w:sz w:val="18"/>
          <w:szCs w:val="18"/>
        </w:rPr>
      </w:pPr>
      <w:r w:rsidDel="00000000" w:rsidR="00000000" w:rsidRPr="00000000">
        <w:rPr>
          <w:rFonts w:ascii="Calibri" w:cs="Calibri" w:eastAsia="Calibri" w:hAnsi="Calibri"/>
          <w:i w:val="1"/>
          <w:sz w:val="18"/>
          <w:szCs w:val="18"/>
          <w:rtl w:val="0"/>
        </w:rPr>
        <w:t xml:space="preserve">(1) Tolosako Osasun Zentroa, </w:t>
      </w:r>
      <w:r w:rsidDel="00000000" w:rsidR="00000000" w:rsidRPr="00000000">
        <w:rPr>
          <w:rFonts w:ascii="Calibri" w:cs="Calibri" w:eastAsia="Calibri" w:hAnsi="Calibri"/>
          <w:sz w:val="18"/>
          <w:szCs w:val="18"/>
          <w:rtl w:val="0"/>
        </w:rPr>
        <w:t xml:space="preserve">ina.idarretamendiola@osakidetza.eus</w:t>
      </w:r>
    </w:p>
    <w:p w:rsidR="00000000" w:rsidDel="00000000" w:rsidP="00000000" w:rsidRDefault="00000000" w:rsidRPr="00000000" w14:paraId="00000008">
      <w:pPr>
        <w:widowControl w:val="0"/>
        <w:spacing w:after="240" w:before="100" w:line="240" w:lineRule="auto"/>
        <w:contextualSpacing w:val="0"/>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(2) Amara Erdialdeko Osasun Zentroa, </w:t>
      </w:r>
      <w:r w:rsidDel="00000000" w:rsidR="00000000" w:rsidRPr="00000000">
        <w:rPr>
          <w:rFonts w:ascii="Calibri" w:cs="Calibri" w:eastAsia="Calibri" w:hAnsi="Calibri"/>
          <w:sz w:val="18"/>
          <w:szCs w:val="18"/>
          <w:rtl w:val="0"/>
        </w:rPr>
        <w:t xml:space="preserve">miren.zubillagaidarreta@osakidetza.eus</w:t>
      </w:r>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09">
      <w:pPr>
        <w:widowControl w:val="0"/>
        <w:spacing w:after="240" w:before="100" w:line="240" w:lineRule="auto"/>
        <w:contextualSpacing w:val="0"/>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0A">
      <w:pPr>
        <w:widowControl w:val="0"/>
        <w:spacing w:after="240" w:before="100" w:line="360" w:lineRule="auto"/>
        <w:contextualSpacing w:val="0"/>
        <w:jc w:val="both"/>
        <w:rPr>
          <w:rFonts w:ascii="Calibri" w:cs="Calibri" w:eastAsia="Calibri" w:hAnsi="Calibri"/>
          <w:b w:val="1"/>
        </w:rPr>
      </w:pPr>
      <w:r w:rsidDel="00000000" w:rsidR="00000000" w:rsidRPr="00000000">
        <w:rPr>
          <w:rFonts w:ascii="Calibri" w:cs="Calibri" w:eastAsia="Calibri" w:hAnsi="Calibri"/>
          <w:b w:val="1"/>
          <w:rtl w:val="0"/>
        </w:rPr>
        <w:t xml:space="preserve">Galdera:</w:t>
      </w:r>
    </w:p>
    <w:p w:rsidR="00000000" w:rsidDel="00000000" w:rsidP="00000000" w:rsidRDefault="00000000" w:rsidRPr="00000000" w14:paraId="0000000B">
      <w:pPr>
        <w:widowControl w:val="0"/>
        <w:numPr>
          <w:ilvl w:val="0"/>
          <w:numId w:val="1"/>
        </w:numPr>
        <w:spacing w:after="240" w:before="100" w:line="36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b w:val="1"/>
          <w:rtl w:val="0"/>
        </w:rPr>
        <w:t xml:space="preserve">Pazientea: </w:t>
      </w:r>
      <w:r w:rsidDel="00000000" w:rsidR="00000000" w:rsidRPr="00000000">
        <w:rPr>
          <w:rFonts w:ascii="Calibri" w:cs="Calibri" w:eastAsia="Calibri" w:hAnsi="Calibri"/>
          <w:rtl w:val="0"/>
        </w:rPr>
        <w:t xml:space="preserve">65 urtetik gorakoak</w:t>
      </w:r>
    </w:p>
    <w:p w:rsidR="00000000" w:rsidDel="00000000" w:rsidP="00000000" w:rsidRDefault="00000000" w:rsidRPr="00000000" w14:paraId="0000000C">
      <w:pPr>
        <w:widowControl w:val="0"/>
        <w:numPr>
          <w:ilvl w:val="0"/>
          <w:numId w:val="1"/>
        </w:numPr>
        <w:spacing w:after="240" w:before="100" w:line="36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b w:val="1"/>
          <w:rtl w:val="0"/>
        </w:rPr>
        <w:t xml:space="preserve">Interbentzioa:</w:t>
      </w:r>
      <w:r w:rsidDel="00000000" w:rsidR="00000000" w:rsidRPr="00000000">
        <w:rPr>
          <w:rFonts w:ascii="Calibri" w:cs="Calibri" w:eastAsia="Calibri" w:hAnsi="Calibri"/>
          <w:rtl w:val="0"/>
        </w:rPr>
        <w:t xml:space="preserve"> 13TPK</w:t>
      </w:r>
    </w:p>
    <w:p w:rsidR="00000000" w:rsidDel="00000000" w:rsidP="00000000" w:rsidRDefault="00000000" w:rsidRPr="00000000" w14:paraId="0000000D">
      <w:pPr>
        <w:widowControl w:val="0"/>
        <w:numPr>
          <w:ilvl w:val="0"/>
          <w:numId w:val="1"/>
        </w:numPr>
        <w:spacing w:after="240" w:before="100" w:line="36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b w:val="1"/>
          <w:rtl w:val="0"/>
        </w:rPr>
        <w:t xml:space="preserve">Konparatzailea: </w:t>
      </w:r>
      <w:r w:rsidDel="00000000" w:rsidR="00000000" w:rsidRPr="00000000">
        <w:rPr>
          <w:rFonts w:ascii="Calibri" w:cs="Calibri" w:eastAsia="Calibri" w:hAnsi="Calibri"/>
          <w:rtl w:val="0"/>
        </w:rPr>
        <w:t xml:space="preserve">Plazeboa. </w:t>
      </w:r>
    </w:p>
    <w:p w:rsidR="00000000" w:rsidDel="00000000" w:rsidP="00000000" w:rsidRDefault="00000000" w:rsidRPr="00000000" w14:paraId="0000000E">
      <w:pPr>
        <w:widowControl w:val="0"/>
        <w:numPr>
          <w:ilvl w:val="0"/>
          <w:numId w:val="1"/>
        </w:numPr>
        <w:spacing w:after="240" w:before="100" w:line="36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b w:val="1"/>
          <w:rtl w:val="0"/>
        </w:rPr>
        <w:t xml:space="preserve">Emaitza: </w:t>
      </w:r>
      <w:r w:rsidDel="00000000" w:rsidR="00000000" w:rsidRPr="00000000">
        <w:rPr>
          <w:rFonts w:ascii="Calibri" w:cs="Calibri" w:eastAsia="Calibri" w:hAnsi="Calibri"/>
          <w:rtl w:val="0"/>
        </w:rPr>
        <w:t xml:space="preserve">txertoak barne hartzen dituen eta hartzen ez dituen serotipoek eragindako pneumoniak, pneumonia totalak, konplikazioak, hilkortasuna eta eragin desiragaitzak.</w:t>
      </w:r>
    </w:p>
    <w:p w:rsidR="00000000" w:rsidDel="00000000" w:rsidP="00000000" w:rsidRDefault="00000000" w:rsidRPr="00000000" w14:paraId="0000000F">
      <w:pPr>
        <w:widowControl w:val="0"/>
        <w:spacing w:after="240" w:before="100" w:line="360" w:lineRule="auto"/>
        <w:contextualSpacing w:val="0"/>
        <w:jc w:val="both"/>
        <w:rPr>
          <w:rFonts w:ascii="Calibri" w:cs="Calibri" w:eastAsia="Calibri" w:hAnsi="Calibri"/>
          <w:sz w:val="20"/>
          <w:szCs w:val="20"/>
        </w:rPr>
      </w:pPr>
      <w:r w:rsidDel="00000000" w:rsidR="00000000" w:rsidRPr="00000000">
        <w:rPr>
          <w:rFonts w:ascii="Calibri" w:cs="Calibri" w:eastAsia="Calibri" w:hAnsi="Calibri"/>
          <w:b w:val="1"/>
          <w:rtl w:val="0"/>
        </w:rPr>
        <w:t xml:space="preserve">Bilaketa estrategia: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Saio bibliografikoa</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0">
      <w:pPr>
        <w:widowControl w:val="0"/>
        <w:spacing w:after="240" w:before="100" w:line="360" w:lineRule="auto"/>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Azterketa mota:</w:t>
      </w:r>
      <w:r w:rsidDel="00000000" w:rsidR="00000000" w:rsidRPr="00000000">
        <w:rPr>
          <w:rFonts w:ascii="Calibri" w:cs="Calibri" w:eastAsia="Calibri" w:hAnsi="Calibri"/>
          <w:rtl w:val="0"/>
        </w:rPr>
        <w:t xml:space="preserve"> saiakuntza klinikoa, 3 adin taldetan 1:1 ausazko laginketa geruzatuarekin, itsu bikoitza, ausazko sekuentziaren ezkutatzearekin (ASE). </w:t>
      </w:r>
    </w:p>
    <w:p w:rsidR="00000000" w:rsidDel="00000000" w:rsidP="00000000" w:rsidRDefault="00000000" w:rsidRPr="00000000" w14:paraId="00000011">
      <w:pPr>
        <w:widowControl w:val="0"/>
        <w:numPr>
          <w:ilvl w:val="0"/>
          <w:numId w:val="2"/>
        </w:numPr>
        <w:spacing w:after="240" w:before="100" w:line="360" w:lineRule="auto"/>
        <w:ind w:left="720" w:hanging="360"/>
        <w:contextualSpacing w:val="1"/>
        <w:jc w:val="both"/>
        <w:rPr>
          <w:rFonts w:ascii="Calibri" w:cs="Calibri" w:eastAsia="Calibri" w:hAnsi="Calibri"/>
          <w:u w:val="none"/>
        </w:rPr>
      </w:pPr>
      <w:r w:rsidDel="00000000" w:rsidR="00000000" w:rsidRPr="00000000">
        <w:rPr>
          <w:rFonts w:ascii="Calibri" w:cs="Calibri" w:eastAsia="Calibri" w:hAnsi="Calibri"/>
          <w:rtl w:val="0"/>
        </w:rPr>
        <w:t xml:space="preserve">Paziente kopurua: 84.496</w:t>
      </w:r>
    </w:p>
    <w:p w:rsidR="00000000" w:rsidDel="00000000" w:rsidP="00000000" w:rsidRDefault="00000000" w:rsidRPr="00000000" w14:paraId="00000012">
      <w:pPr>
        <w:widowControl w:val="0"/>
        <w:spacing w:after="100" w:before="100" w:line="360" w:lineRule="auto"/>
        <w:contextualSpacing w:val="0"/>
        <w:jc w:val="both"/>
        <w:rPr>
          <w:rFonts w:ascii="Calibri" w:cs="Calibri" w:eastAsia="Calibri" w:hAnsi="Calibri"/>
          <w:b w:val="1"/>
          <w:sz w:val="20"/>
          <w:szCs w:val="20"/>
        </w:rPr>
      </w:pPr>
      <w:r w:rsidDel="00000000" w:rsidR="00000000" w:rsidRPr="00000000">
        <w:rPr>
          <w:rFonts w:ascii="Calibri" w:cs="Calibri" w:eastAsia="Calibri" w:hAnsi="Calibri"/>
          <w:b w:val="1"/>
          <w:rtl w:val="0"/>
        </w:rPr>
        <w:t xml:space="preserve">Emaitzak:</w:t>
      </w:r>
      <w:r w:rsidDel="00000000" w:rsidR="00000000" w:rsidRPr="00000000">
        <w:rPr>
          <w:rtl w:val="0"/>
        </w:rPr>
      </w:r>
    </w:p>
    <w:tbl>
      <w:tblPr>
        <w:tblStyle w:val="Table2"/>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975"/>
        <w:gridCol w:w="1050"/>
        <w:gridCol w:w="1140"/>
        <w:gridCol w:w="1410"/>
        <w:gridCol w:w="1350"/>
        <w:gridCol w:w="1515"/>
        <w:tblGridChange w:id="0">
          <w:tblGrid>
            <w:gridCol w:w="2640"/>
            <w:gridCol w:w="975"/>
            <w:gridCol w:w="1050"/>
            <w:gridCol w:w="1140"/>
            <w:gridCol w:w="1410"/>
            <w:gridCol w:w="1350"/>
            <w:gridCol w:w="1515"/>
          </w:tblGrid>
        </w:tblGridChange>
      </w:tblGrid>
      <w:tr>
        <w:tc>
          <w:tcPr>
            <w:shd w:fill="93c47d" w:val="clear"/>
          </w:tcPr>
          <w:p w:rsidR="00000000" w:rsidDel="00000000" w:rsidP="00000000" w:rsidRDefault="00000000" w:rsidRPr="00000000" w14:paraId="00000013">
            <w:pPr>
              <w:widowControl w:val="0"/>
              <w:spacing w:before="100" w:line="240" w:lineRule="auto"/>
              <w:contextualSpacing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EMAITZAK(*)</w:t>
            </w:r>
          </w:p>
        </w:tc>
        <w:tc>
          <w:tcPr>
            <w:shd w:fill="93c47d" w:val="clear"/>
          </w:tcPr>
          <w:p w:rsidR="00000000" w:rsidDel="00000000" w:rsidP="00000000" w:rsidRDefault="00000000" w:rsidRPr="00000000" w14:paraId="00000014">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Txertoa</w:t>
            </w:r>
          </w:p>
          <w:p w:rsidR="00000000" w:rsidDel="00000000" w:rsidP="00000000" w:rsidRDefault="00000000" w:rsidRPr="00000000" w14:paraId="00000015">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 TPK</w:t>
            </w:r>
          </w:p>
          <w:p w:rsidR="00000000" w:rsidDel="00000000" w:rsidP="00000000" w:rsidRDefault="00000000" w:rsidRPr="00000000" w14:paraId="00000016">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N=42240</w:t>
            </w:r>
          </w:p>
        </w:tc>
        <w:tc>
          <w:tcPr>
            <w:shd w:fill="93c47d" w:val="clear"/>
          </w:tcPr>
          <w:p w:rsidR="00000000" w:rsidDel="00000000" w:rsidP="00000000" w:rsidRDefault="00000000" w:rsidRPr="00000000" w14:paraId="00000017">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Plazeboa</w:t>
            </w:r>
          </w:p>
          <w:p w:rsidR="00000000" w:rsidDel="00000000" w:rsidP="00000000" w:rsidRDefault="00000000" w:rsidRPr="00000000" w14:paraId="00000018">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N=42256</w:t>
            </w:r>
          </w:p>
        </w:tc>
        <w:tc>
          <w:tcPr>
            <w:shd w:fill="93c47d" w:val="clear"/>
          </w:tcPr>
          <w:p w:rsidR="00000000" w:rsidDel="00000000" w:rsidP="00000000" w:rsidRDefault="00000000" w:rsidRPr="00000000" w14:paraId="00000019">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AE</w:t>
            </w:r>
          </w:p>
        </w:tc>
        <w:tc>
          <w:tcPr>
            <w:shd w:fill="93c47d" w:val="clear"/>
          </w:tcPr>
          <w:p w:rsidR="00000000" w:rsidDel="00000000" w:rsidP="00000000" w:rsidRDefault="00000000" w:rsidRPr="00000000" w14:paraId="0000001A">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AEM</w:t>
            </w:r>
          </w:p>
          <w:p w:rsidR="00000000" w:rsidDel="00000000" w:rsidP="00000000" w:rsidRDefault="00000000" w:rsidRPr="00000000" w14:paraId="0000001B">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(txertoaren eraginkortasuna)</w:t>
            </w:r>
          </w:p>
        </w:tc>
        <w:tc>
          <w:tcPr>
            <w:shd w:fill="93c47d" w:val="clear"/>
          </w:tcPr>
          <w:p w:rsidR="00000000" w:rsidDel="00000000" w:rsidP="00000000" w:rsidRDefault="00000000" w:rsidRPr="00000000" w14:paraId="0000001C">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NNT</w:t>
            </w:r>
          </w:p>
          <w:p w:rsidR="00000000" w:rsidDel="00000000" w:rsidP="00000000" w:rsidRDefault="00000000" w:rsidRPr="00000000" w14:paraId="0000001D">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3.9 urtetan</w:t>
            </w:r>
          </w:p>
        </w:tc>
        <w:tc>
          <w:tcPr>
            <w:shd w:fill="93c47d" w:val="clear"/>
          </w:tcPr>
          <w:p w:rsidR="00000000" w:rsidDel="00000000" w:rsidP="00000000" w:rsidRDefault="00000000" w:rsidRPr="00000000" w14:paraId="0000001E">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NNT </w:t>
            </w:r>
          </w:p>
          <w:p w:rsidR="00000000" w:rsidDel="00000000" w:rsidP="00000000" w:rsidRDefault="00000000" w:rsidRPr="00000000" w14:paraId="0000001F">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urtebetean</w:t>
            </w:r>
          </w:p>
        </w:tc>
      </w:tr>
      <w:tr>
        <w:trPr>
          <w:trHeight w:val="200" w:hRule="atLeast"/>
        </w:trPr>
        <w:tc>
          <w:tcPr>
            <w:gridSpan w:val="7"/>
            <w:shd w:fill="d9ead3" w:val="clear"/>
          </w:tcPr>
          <w:p w:rsidR="00000000" w:rsidDel="00000000" w:rsidP="00000000" w:rsidRDefault="00000000" w:rsidRPr="00000000" w14:paraId="00000020">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PRIMARIOA</w:t>
            </w:r>
          </w:p>
        </w:tc>
      </w:tr>
      <w:tr>
        <w:tc>
          <w:tcPr/>
          <w:p w:rsidR="00000000" w:rsidDel="00000000" w:rsidP="00000000" w:rsidRDefault="00000000" w:rsidRPr="00000000" w14:paraId="00000027">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Txertoak barne hartzen duen pneumokoko serotipoek eragindako 1. KHP gertaera. </w:t>
            </w:r>
          </w:p>
        </w:tc>
        <w:tc>
          <w:tcPr/>
          <w:p w:rsidR="00000000" w:rsidDel="00000000" w:rsidP="00000000" w:rsidRDefault="00000000" w:rsidRPr="00000000" w14:paraId="00000028">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66</w:t>
            </w:r>
          </w:p>
        </w:tc>
        <w:tc>
          <w:tcPr/>
          <w:p w:rsidR="00000000" w:rsidDel="00000000" w:rsidP="00000000" w:rsidRDefault="00000000" w:rsidRPr="00000000" w14:paraId="00000029">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106</w:t>
            </w:r>
          </w:p>
        </w:tc>
        <w:tc>
          <w:tcPr/>
          <w:p w:rsidR="00000000" w:rsidDel="00000000" w:rsidP="00000000" w:rsidRDefault="00000000" w:rsidRPr="00000000" w14:paraId="0000002A">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%62 (46-85)</w:t>
            </w:r>
          </w:p>
        </w:tc>
        <w:tc>
          <w:tcPr/>
          <w:p w:rsidR="00000000" w:rsidDel="00000000" w:rsidP="00000000" w:rsidRDefault="00000000" w:rsidRPr="00000000" w14:paraId="0000002B">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%38 (15-54)</w:t>
            </w:r>
          </w:p>
        </w:tc>
        <w:tc>
          <w:tcPr/>
          <w:p w:rsidR="00000000" w:rsidDel="00000000" w:rsidP="00000000" w:rsidRDefault="00000000" w:rsidRPr="00000000" w14:paraId="0000002C">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1057 (644-2956)</w:t>
            </w:r>
          </w:p>
        </w:tc>
        <w:tc>
          <w:tcPr/>
          <w:p w:rsidR="00000000" w:rsidDel="00000000" w:rsidP="00000000" w:rsidRDefault="00000000" w:rsidRPr="00000000" w14:paraId="0000002D">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4122 (2512-11528)</w:t>
            </w:r>
          </w:p>
        </w:tc>
      </w:tr>
      <w:tr>
        <w:trPr>
          <w:trHeight w:val="200" w:hRule="atLeast"/>
        </w:trPr>
        <w:tc>
          <w:tcPr>
            <w:gridSpan w:val="7"/>
            <w:shd w:fill="d9ead3" w:val="clear"/>
          </w:tcPr>
          <w:p w:rsidR="00000000" w:rsidDel="00000000" w:rsidP="00000000" w:rsidRDefault="00000000" w:rsidRPr="00000000" w14:paraId="0000002E">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SEKUNDARIOA</w:t>
            </w:r>
          </w:p>
        </w:tc>
      </w:tr>
      <w:tr>
        <w:tc>
          <w:tcPr/>
          <w:p w:rsidR="00000000" w:rsidDel="00000000" w:rsidP="00000000" w:rsidRDefault="00000000" w:rsidRPr="00000000" w14:paraId="00000035">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Txertoak barne hartzen duen pneumokoko serotipoek eragindako 1. GPI gertaera. </w:t>
            </w:r>
          </w:p>
        </w:tc>
        <w:tc>
          <w:tcPr/>
          <w:p w:rsidR="00000000" w:rsidDel="00000000" w:rsidP="00000000" w:rsidRDefault="00000000" w:rsidRPr="00000000" w14:paraId="00000036">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8</w:t>
            </w:r>
          </w:p>
        </w:tc>
        <w:tc>
          <w:tcPr/>
          <w:p w:rsidR="00000000" w:rsidDel="00000000" w:rsidP="00000000" w:rsidRDefault="00000000" w:rsidRPr="00000000" w14:paraId="00000037">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33</w:t>
            </w:r>
          </w:p>
        </w:tc>
        <w:tc>
          <w:tcPr/>
          <w:p w:rsidR="00000000" w:rsidDel="00000000" w:rsidP="00000000" w:rsidRDefault="00000000" w:rsidRPr="00000000" w14:paraId="00000038">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%24 (11-52)</w:t>
            </w:r>
          </w:p>
        </w:tc>
        <w:tc>
          <w:tcPr/>
          <w:p w:rsidR="00000000" w:rsidDel="00000000" w:rsidP="00000000" w:rsidRDefault="00000000" w:rsidRPr="00000000" w14:paraId="00000039">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%76 (48-89)</w:t>
            </w:r>
          </w:p>
        </w:tc>
        <w:tc>
          <w:tcPr/>
          <w:p w:rsidR="00000000" w:rsidDel="00000000" w:rsidP="00000000" w:rsidRDefault="00000000" w:rsidRPr="00000000" w14:paraId="0000003A">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1690 (1126-3394)</w:t>
            </w:r>
          </w:p>
        </w:tc>
        <w:tc>
          <w:tcPr/>
          <w:p w:rsidR="00000000" w:rsidDel="00000000" w:rsidP="00000000" w:rsidRDefault="00000000" w:rsidRPr="00000000" w14:paraId="0000003B">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6552 (4391-13237)</w:t>
            </w:r>
          </w:p>
        </w:tc>
      </w:tr>
      <w:tr>
        <w:tc>
          <w:tcPr/>
          <w:p w:rsidR="00000000" w:rsidDel="00000000" w:rsidP="00000000" w:rsidRDefault="00000000" w:rsidRPr="00000000" w14:paraId="0000003C">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Edozein neumokoko serotipok eragindako 1. KHP gertaera</w:t>
            </w:r>
          </w:p>
        </w:tc>
        <w:tc>
          <w:tcPr/>
          <w:p w:rsidR="00000000" w:rsidDel="00000000" w:rsidP="00000000" w:rsidRDefault="00000000" w:rsidRPr="00000000" w14:paraId="0000003D">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135</w:t>
            </w:r>
          </w:p>
        </w:tc>
        <w:tc>
          <w:tcPr/>
          <w:p w:rsidR="00000000" w:rsidDel="00000000" w:rsidP="00000000" w:rsidRDefault="00000000" w:rsidRPr="00000000" w14:paraId="0000003E">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174</w:t>
            </w:r>
          </w:p>
        </w:tc>
        <w:tc>
          <w:tcPr/>
          <w:p w:rsidR="00000000" w:rsidDel="00000000" w:rsidP="00000000" w:rsidRDefault="00000000" w:rsidRPr="00000000" w14:paraId="0000003F">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%78 (62-97)</w:t>
            </w:r>
          </w:p>
        </w:tc>
        <w:tc>
          <w:tcPr/>
          <w:p w:rsidR="00000000" w:rsidDel="00000000" w:rsidP="00000000" w:rsidRDefault="00000000" w:rsidRPr="00000000" w14:paraId="00000040">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%22 (3-38)</w:t>
            </w:r>
          </w:p>
        </w:tc>
        <w:tc>
          <w:tcPr/>
          <w:p w:rsidR="00000000" w:rsidDel="00000000" w:rsidP="00000000" w:rsidRDefault="00000000" w:rsidRPr="00000000" w14:paraId="00000041">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1085 (576-9280)</w:t>
            </w:r>
          </w:p>
        </w:tc>
        <w:tc>
          <w:tcPr/>
          <w:p w:rsidR="00000000" w:rsidDel="00000000" w:rsidP="00000000" w:rsidRDefault="00000000" w:rsidRPr="00000000" w14:paraId="00000042">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4231 (2246-36192)</w:t>
            </w:r>
          </w:p>
        </w:tc>
      </w:tr>
      <w:tr>
        <w:tc>
          <w:tcPr/>
          <w:p w:rsidR="00000000" w:rsidDel="00000000" w:rsidP="00000000" w:rsidRDefault="00000000" w:rsidRPr="00000000" w14:paraId="00000043">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KHP totalak</w:t>
            </w:r>
          </w:p>
        </w:tc>
        <w:tc>
          <w:tcPr/>
          <w:p w:rsidR="00000000" w:rsidDel="00000000" w:rsidP="00000000" w:rsidRDefault="00000000" w:rsidRPr="00000000" w14:paraId="00000044">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747</w:t>
            </w:r>
          </w:p>
        </w:tc>
        <w:tc>
          <w:tcPr/>
          <w:p w:rsidR="00000000" w:rsidDel="00000000" w:rsidP="00000000" w:rsidRDefault="00000000" w:rsidRPr="00000000" w14:paraId="00000045">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787</w:t>
            </w:r>
          </w:p>
        </w:tc>
        <w:tc>
          <w:tcPr>
            <w:gridSpan w:val="4"/>
          </w:tcPr>
          <w:p w:rsidR="00000000" w:rsidDel="00000000" w:rsidP="00000000" w:rsidRDefault="00000000" w:rsidRPr="00000000" w14:paraId="00000046">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Ez-esanguratsua</w:t>
            </w:r>
          </w:p>
        </w:tc>
      </w:tr>
      <w:tr>
        <w:tc>
          <w:tcPr>
            <w:shd w:fill="93c47d" w:val="clear"/>
          </w:tcPr>
          <w:p w:rsidR="00000000" w:rsidDel="00000000" w:rsidP="00000000" w:rsidRDefault="00000000" w:rsidRPr="00000000" w14:paraId="0000004A">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SEGURTASUN AZPITALDEKO EMAITZAK</w:t>
            </w:r>
          </w:p>
        </w:tc>
        <w:tc>
          <w:tcPr>
            <w:shd w:fill="93c47d" w:val="clear"/>
          </w:tcPr>
          <w:p w:rsidR="00000000" w:rsidDel="00000000" w:rsidP="00000000" w:rsidRDefault="00000000" w:rsidRPr="00000000" w14:paraId="0000004B">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Txertoa</w:t>
            </w:r>
          </w:p>
          <w:p w:rsidR="00000000" w:rsidDel="00000000" w:rsidP="00000000" w:rsidRDefault="00000000" w:rsidRPr="00000000" w14:paraId="0000004C">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 TPK</w:t>
            </w:r>
          </w:p>
          <w:p w:rsidR="00000000" w:rsidDel="00000000" w:rsidP="00000000" w:rsidRDefault="00000000" w:rsidRPr="00000000" w14:paraId="0000004D">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N=1006</w:t>
            </w:r>
          </w:p>
        </w:tc>
        <w:tc>
          <w:tcPr>
            <w:shd w:fill="93c47d" w:val="clear"/>
          </w:tcPr>
          <w:p w:rsidR="00000000" w:rsidDel="00000000" w:rsidP="00000000" w:rsidRDefault="00000000" w:rsidRPr="00000000" w14:paraId="0000004E">
            <w:pPr>
              <w:widowControl w:val="0"/>
              <w:spacing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Plazeboa</w:t>
            </w:r>
          </w:p>
          <w:p w:rsidR="00000000" w:rsidDel="00000000" w:rsidP="00000000" w:rsidRDefault="00000000" w:rsidRPr="00000000" w14:paraId="0000004F">
            <w:pPr>
              <w:widowControl w:val="0"/>
              <w:spacing w:before="100" w:line="24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N=1005</w:t>
            </w:r>
          </w:p>
        </w:tc>
        <w:tc>
          <w:tcPr>
            <w:shd w:fill="93c47d" w:val="clear"/>
          </w:tcPr>
          <w:p w:rsidR="00000000" w:rsidDel="00000000" w:rsidP="00000000" w:rsidRDefault="00000000" w:rsidRPr="00000000" w14:paraId="00000050">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AE</w:t>
            </w:r>
          </w:p>
        </w:tc>
        <w:tc>
          <w:tcPr>
            <w:shd w:fill="93c47d" w:val="clear"/>
          </w:tcPr>
          <w:p w:rsidR="00000000" w:rsidDel="00000000" w:rsidP="00000000" w:rsidRDefault="00000000" w:rsidRPr="00000000" w14:paraId="00000051">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AEM</w:t>
            </w:r>
          </w:p>
          <w:p w:rsidR="00000000" w:rsidDel="00000000" w:rsidP="00000000" w:rsidRDefault="00000000" w:rsidRPr="00000000" w14:paraId="00000052">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(txertoaren eraginkortasuna)</w:t>
            </w:r>
          </w:p>
        </w:tc>
        <w:tc>
          <w:tcPr>
            <w:shd w:fill="93c47d" w:val="clear"/>
          </w:tcPr>
          <w:p w:rsidR="00000000" w:rsidDel="00000000" w:rsidP="00000000" w:rsidRDefault="00000000" w:rsidRPr="00000000" w14:paraId="00000053">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NNT</w:t>
            </w:r>
          </w:p>
          <w:p w:rsidR="00000000" w:rsidDel="00000000" w:rsidP="00000000" w:rsidRDefault="00000000" w:rsidRPr="00000000" w14:paraId="00000054">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3.9 urtetan</w:t>
            </w:r>
          </w:p>
        </w:tc>
        <w:tc>
          <w:tcPr>
            <w:shd w:fill="93c47d" w:val="clear"/>
          </w:tcPr>
          <w:p w:rsidR="00000000" w:rsidDel="00000000" w:rsidP="00000000" w:rsidRDefault="00000000" w:rsidRPr="00000000" w14:paraId="00000055">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NNT </w:t>
            </w:r>
          </w:p>
          <w:p w:rsidR="00000000" w:rsidDel="00000000" w:rsidP="00000000" w:rsidRDefault="00000000" w:rsidRPr="00000000" w14:paraId="00000056">
            <w:pPr>
              <w:widowControl w:val="0"/>
              <w:spacing w:before="100" w:lineRule="auto"/>
              <w:contextualSpacing w:val="0"/>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urtebetean</w:t>
            </w:r>
          </w:p>
        </w:tc>
      </w:tr>
      <w:tr>
        <w:tc>
          <w:tcPr/>
          <w:p w:rsidR="00000000" w:rsidDel="00000000" w:rsidP="00000000" w:rsidRDefault="00000000" w:rsidRPr="00000000" w14:paraId="00000057">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Hilabetera eragin desiragaitz arin-moderatuak</w:t>
            </w:r>
          </w:p>
        </w:tc>
        <w:tc>
          <w:tcPr/>
          <w:p w:rsidR="00000000" w:rsidDel="00000000" w:rsidP="00000000" w:rsidRDefault="00000000" w:rsidRPr="00000000" w14:paraId="00000058">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188</w:t>
            </w:r>
          </w:p>
        </w:tc>
        <w:tc>
          <w:tcPr/>
          <w:p w:rsidR="00000000" w:rsidDel="00000000" w:rsidP="00000000" w:rsidRDefault="00000000" w:rsidRPr="00000000" w14:paraId="00000059">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144</w:t>
            </w:r>
          </w:p>
        </w:tc>
        <w:tc>
          <w:tcPr/>
          <w:p w:rsidR="00000000" w:rsidDel="00000000" w:rsidP="00000000" w:rsidRDefault="00000000" w:rsidRPr="00000000" w14:paraId="0000005A">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1.3</w:t>
            </w:r>
          </w:p>
          <w:p w:rsidR="00000000" w:rsidDel="00000000" w:rsidP="00000000" w:rsidRDefault="00000000" w:rsidRPr="00000000" w14:paraId="0000005B">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(1.07-1.59)</w:t>
            </w:r>
          </w:p>
        </w:tc>
        <w:tc>
          <w:tcPr/>
          <w:p w:rsidR="00000000" w:rsidDel="00000000" w:rsidP="00000000" w:rsidRDefault="00000000" w:rsidRPr="00000000" w14:paraId="0000005C">
            <w:pPr>
              <w:widowControl w:val="0"/>
              <w:spacing w:before="100" w:line="360" w:lineRule="auto"/>
              <w:contextualSpacing w:val="0"/>
              <w:jc w:val="both"/>
              <w:rPr>
                <w:rFonts w:ascii="Calibri" w:cs="Calibri" w:eastAsia="Calibri" w:hAnsi="Calibri"/>
                <w:b w:val="1"/>
                <w:sz w:val="16"/>
                <w:szCs w:val="16"/>
              </w:rPr>
            </w:pPr>
            <w:r w:rsidDel="00000000" w:rsidR="00000000" w:rsidRPr="00000000">
              <w:rPr>
                <w:rtl w:val="0"/>
              </w:rPr>
            </w:r>
          </w:p>
        </w:tc>
        <w:tc>
          <w:tcPr/>
          <w:p w:rsidR="00000000" w:rsidDel="00000000" w:rsidP="00000000" w:rsidRDefault="00000000" w:rsidRPr="00000000" w14:paraId="0000005D">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23 (13-89)</w:t>
            </w:r>
          </w:p>
        </w:tc>
        <w:tc>
          <w:tcPr/>
          <w:p w:rsidR="00000000" w:rsidDel="00000000" w:rsidP="00000000" w:rsidRDefault="00000000" w:rsidRPr="00000000" w14:paraId="0000005E">
            <w:pPr>
              <w:widowControl w:val="0"/>
              <w:spacing w:before="100" w:line="360" w:lineRule="auto"/>
              <w:contextualSpacing w:val="0"/>
              <w:jc w:val="both"/>
              <w:rPr>
                <w:rFonts w:ascii="Calibri" w:cs="Calibri" w:eastAsia="Calibri" w:hAnsi="Calibri"/>
                <w:b w:val="1"/>
                <w:sz w:val="16"/>
                <w:szCs w:val="16"/>
              </w:rPr>
            </w:pPr>
            <w:r w:rsidDel="00000000" w:rsidR="00000000" w:rsidRPr="00000000">
              <w:rPr>
                <w:rtl w:val="0"/>
              </w:rPr>
            </w:r>
          </w:p>
        </w:tc>
      </w:tr>
      <w:tr>
        <w:tc>
          <w:tcPr/>
          <w:p w:rsidR="00000000" w:rsidDel="00000000" w:rsidP="00000000" w:rsidRDefault="00000000" w:rsidRPr="00000000" w14:paraId="0000005F">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Eragin desiragaitzak 6 hilabetera </w:t>
            </w:r>
          </w:p>
        </w:tc>
        <w:tc>
          <w:tcPr/>
          <w:p w:rsidR="00000000" w:rsidDel="00000000" w:rsidP="00000000" w:rsidRDefault="00000000" w:rsidRPr="00000000" w14:paraId="00000060">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70</w:t>
            </w:r>
          </w:p>
        </w:tc>
        <w:tc>
          <w:tcPr/>
          <w:p w:rsidR="00000000" w:rsidDel="00000000" w:rsidP="00000000" w:rsidRDefault="00000000" w:rsidRPr="00000000" w14:paraId="00000061">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60</w:t>
            </w:r>
          </w:p>
        </w:tc>
        <w:tc>
          <w:tcPr>
            <w:gridSpan w:val="4"/>
          </w:tcPr>
          <w:p w:rsidR="00000000" w:rsidDel="00000000" w:rsidP="00000000" w:rsidRDefault="00000000" w:rsidRPr="00000000" w14:paraId="00000062">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Ez-esanguratsua</w:t>
            </w:r>
          </w:p>
        </w:tc>
      </w:tr>
      <w:tr>
        <w:tc>
          <w:tcPr/>
          <w:p w:rsidR="00000000" w:rsidDel="00000000" w:rsidP="00000000" w:rsidRDefault="00000000" w:rsidRPr="00000000" w14:paraId="00000066">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Hilkortasuna</w:t>
            </w:r>
          </w:p>
        </w:tc>
        <w:tc>
          <w:tcPr/>
          <w:p w:rsidR="00000000" w:rsidDel="00000000" w:rsidP="00000000" w:rsidRDefault="00000000" w:rsidRPr="00000000" w14:paraId="00000067">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w:t>
            </w:r>
          </w:p>
        </w:tc>
        <w:tc>
          <w:tcPr/>
          <w:p w:rsidR="00000000" w:rsidDel="00000000" w:rsidP="00000000" w:rsidRDefault="00000000" w:rsidRPr="00000000" w14:paraId="00000068">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2</w:t>
            </w:r>
          </w:p>
        </w:tc>
        <w:tc>
          <w:tcPr>
            <w:gridSpan w:val="4"/>
          </w:tcPr>
          <w:p w:rsidR="00000000" w:rsidDel="00000000" w:rsidP="00000000" w:rsidRDefault="00000000" w:rsidRPr="00000000" w14:paraId="00000069">
            <w:pPr>
              <w:widowControl w:val="0"/>
              <w:spacing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Ez baloragarria kasuistika faltagatik</w:t>
            </w:r>
          </w:p>
        </w:tc>
      </w:tr>
    </w:tbl>
    <w:p w:rsidR="00000000" w:rsidDel="00000000" w:rsidP="00000000" w:rsidRDefault="00000000" w:rsidRPr="00000000" w14:paraId="0000006D">
      <w:pPr>
        <w:widowControl w:val="0"/>
        <w:spacing w:after="100" w:before="100" w:line="360" w:lineRule="auto"/>
        <w:contextualSpacing w:val="0"/>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 Tratatze intentzio modifikatuaren datuak (TIM): Txertoa hartu eta lehen 14 egunen barruan agertutako KHP gertaerak baztertzen direla esan nahi du. NNT: Number Need to Treat. AE: Arrisku Erlatiboa. AEM: Arrisku Erlatiboaren Murriztea. </w:t>
      </w:r>
    </w:p>
    <w:p w:rsidR="00000000" w:rsidDel="00000000" w:rsidP="00000000" w:rsidRDefault="00000000" w:rsidRPr="00000000" w14:paraId="0000006E">
      <w:pPr>
        <w:spacing w:after="200" w:line="276"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Iruzkina:</w:t>
      </w:r>
    </w:p>
    <w:p w:rsidR="00000000" w:rsidDel="00000000" w:rsidP="00000000" w:rsidRDefault="00000000" w:rsidRPr="00000000" w14:paraId="0000006F">
      <w:pPr>
        <w:widowControl w:val="0"/>
        <w:spacing w:after="240" w:before="100" w:line="360" w:lineRule="auto"/>
        <w:contextualSpacing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Pfizer farmazeutikak finantzatutako ikerketa da eta estudioko ikertzaile nagusiak eta beste lauk konpainia horretatik ordainsariak jaso zituzten. </w:t>
      </w:r>
    </w:p>
    <w:p w:rsidR="00000000" w:rsidDel="00000000" w:rsidP="00000000" w:rsidRDefault="00000000" w:rsidRPr="00000000" w14:paraId="00000070">
      <w:pPr>
        <w:widowControl w:val="0"/>
        <w:spacing w:after="240" w:before="100" w:line="360" w:lineRule="auto"/>
        <w:contextualSpacing w:val="0"/>
        <w:jc w:val="both"/>
        <w:rPr>
          <w:rFonts w:ascii="Calibri" w:cs="Calibri" w:eastAsia="Calibri" w:hAnsi="Calibri"/>
          <w:b w:val="1"/>
        </w:rPr>
      </w:pPr>
      <w:r w:rsidDel="00000000" w:rsidR="00000000" w:rsidRPr="00000000">
        <w:rPr>
          <w:rFonts w:ascii="Calibri" w:cs="Calibri" w:eastAsia="Calibri" w:hAnsi="Calibri"/>
          <w:sz w:val="20"/>
          <w:szCs w:val="20"/>
          <w:rtl w:val="0"/>
        </w:rPr>
        <w:t xml:space="preserve">Hasiera batean ezarritako iraupena 2 urtekoa izan bazen ere, laginaren tamaina bikoiztu eta jarraipena 3.97 urtera luzatu behar izan zen %90eko potentzia estatistikorako kalkulatutako gertaera faltagatik. </w:t>
      </w:r>
      <w:r w:rsidDel="00000000" w:rsidR="00000000" w:rsidRPr="00000000">
        <w:rPr>
          <w:rtl w:val="0"/>
        </w:rPr>
      </w:r>
    </w:p>
    <w:p w:rsidR="00000000" w:rsidDel="00000000" w:rsidP="00000000" w:rsidRDefault="00000000" w:rsidRPr="00000000" w14:paraId="00000071">
      <w:pPr>
        <w:spacing w:after="200" w:line="360" w:lineRule="auto"/>
        <w:contextualSpacing w:val="0"/>
        <w:jc w:val="both"/>
        <w:rPr>
          <w:rFonts w:ascii="Calibri" w:cs="Calibri" w:eastAsia="Calibri" w:hAnsi="Calibri"/>
        </w:rPr>
      </w:pPr>
      <w:r w:rsidDel="00000000" w:rsidR="00000000" w:rsidRPr="00000000">
        <w:rPr>
          <w:rFonts w:ascii="Calibri" w:cs="Calibri" w:eastAsia="Calibri" w:hAnsi="Calibri"/>
          <w:sz w:val="20"/>
          <w:szCs w:val="20"/>
          <w:rtl w:val="0"/>
        </w:rPr>
        <w:t xml:space="preserve">13-TPK eraginkorra da txertoak barne hartzen dituen pneumokoko serotipoek eragindako KHP eta GPI murriztean, baita edozein pneumokoko serotipok eragindako KHPen murriztean ere, nahiz eta eragin honen magnitudea oso txikia izan. Nabarmentzekoa da ez duela KHP totalen intzidentzia murrizten. </w:t>
      </w:r>
      <w:r w:rsidDel="00000000" w:rsidR="00000000" w:rsidRPr="00000000">
        <w:rPr>
          <w:rFonts w:ascii="Calibri" w:cs="Calibri" w:eastAsia="Calibri" w:hAnsi="Calibri"/>
          <w:rtl w:val="0"/>
        </w:rPr>
        <w:t xml:space="preserve">Ez dago datu nahikorik hilkortasunaren gainean duen eragina aztertzeko.</w:t>
      </w:r>
    </w:p>
    <w:p w:rsidR="00000000" w:rsidDel="00000000" w:rsidP="00000000" w:rsidRDefault="00000000" w:rsidRPr="00000000" w14:paraId="00000072">
      <w:pPr>
        <w:widowControl w:val="0"/>
        <w:spacing w:after="100" w:before="100" w:line="360" w:lineRule="auto"/>
        <w:contextualSpacing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CAPITA  (</w:t>
      </w:r>
      <w:r w:rsidDel="00000000" w:rsidR="00000000" w:rsidRPr="00000000">
        <w:rPr>
          <w:rFonts w:ascii="Calibri" w:cs="Calibri" w:eastAsia="Calibri" w:hAnsi="Calibri"/>
          <w:sz w:val="20"/>
          <w:szCs w:val="20"/>
          <w:highlight w:val="white"/>
          <w:rtl w:val="0"/>
        </w:rPr>
        <w:t xml:space="preserve">Community-Acquired Pneumonia Immunization Trial in Adults)</w:t>
      </w:r>
      <w:r w:rsidDel="00000000" w:rsidR="00000000" w:rsidRPr="00000000">
        <w:rPr>
          <w:color w:val="545454"/>
          <w:highlight w:val="white"/>
          <w:rtl w:val="0"/>
        </w:rPr>
        <w:t xml:space="preserve"> </w:t>
      </w:r>
      <w:r w:rsidDel="00000000" w:rsidR="00000000" w:rsidRPr="00000000">
        <w:rPr>
          <w:rFonts w:ascii="Calibri" w:cs="Calibri" w:eastAsia="Calibri" w:hAnsi="Calibri"/>
          <w:sz w:val="20"/>
          <w:szCs w:val="20"/>
          <w:rtl w:val="0"/>
        </w:rPr>
        <w:t xml:space="preserve">estudioko datuak espainiar biztanleriara estrapolatuz, esperotako efektuaren magnitudea oraindik eta txikiagoa da, EVALMED-ek (evaluación de nuevos medicamentos) (1) egindako ebaluaziotik ondorioztatu dezakegun bezala, kasuen intzidentzia txikiagoa baita. Horrenbestez, iruditzen zaigu honek guztiak 65 urtetik gorakoen txertaketa orokortu baten indikazioaren kostu/efikazia balantzearen hausnarketarako arrazoi izan behar duela. Arrisku taldeentzat entsegu kliniko espezifikoak behar dira.  </w:t>
      </w:r>
    </w:p>
    <w:p w:rsidR="00000000" w:rsidDel="00000000" w:rsidP="00000000" w:rsidRDefault="00000000" w:rsidRPr="00000000" w14:paraId="00000073">
      <w:pPr>
        <w:widowControl w:val="0"/>
        <w:spacing w:after="100" w:before="100" w:line="360" w:lineRule="auto"/>
        <w:contextualSpacing w:val="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widowControl w:val="0"/>
        <w:spacing w:after="100" w:before="100" w:line="360" w:lineRule="auto"/>
        <w:contextualSpacing w:val="0"/>
        <w:jc w:val="both"/>
        <w:rPr>
          <w:rFonts w:ascii="Calibri" w:cs="Calibri" w:eastAsia="Calibri" w:hAnsi="Calibri"/>
          <w:b w:val="1"/>
        </w:rPr>
      </w:pPr>
      <w:r w:rsidDel="00000000" w:rsidR="00000000" w:rsidRPr="00000000">
        <w:rPr>
          <w:rFonts w:ascii="Calibri" w:cs="Calibri" w:eastAsia="Calibri" w:hAnsi="Calibri"/>
          <w:b w:val="1"/>
          <w:rtl w:val="0"/>
        </w:rPr>
        <w:t xml:space="preserve">Erreferentzia osagarriak:</w:t>
      </w:r>
    </w:p>
    <w:p w:rsidR="00000000" w:rsidDel="00000000" w:rsidP="00000000" w:rsidRDefault="00000000" w:rsidRPr="00000000" w14:paraId="00000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both"/>
        <w:rPr>
          <w:color w:val="666666"/>
          <w:sz w:val="19"/>
          <w:szCs w:val="19"/>
          <w:highlight w:val="white"/>
        </w:rPr>
      </w:pPr>
      <w:r w:rsidDel="00000000" w:rsidR="00000000" w:rsidRPr="00000000">
        <w:rPr>
          <w:rFonts w:ascii="Calibri" w:cs="Calibri" w:eastAsia="Calibri" w:hAnsi="Calibri"/>
          <w:color w:val="666666"/>
          <w:sz w:val="20"/>
          <w:szCs w:val="20"/>
          <w:rtl w:val="0"/>
        </w:rPr>
        <w:t xml:space="preserve">1: Ezquerra Pérez G. Evaluación GRADE del ensayo CAPITA: efectividad de la vacuna neumocócica conjugada 13 valente (13vPnC) en mayores de 65 años en mortalidad, enfermedad neumocócica invasiva y neumonía neumocócica. </w:t>
      </w:r>
      <w:r w:rsidDel="00000000" w:rsidR="00000000" w:rsidRPr="00000000">
        <w:rPr>
          <w:color w:val="666666"/>
          <w:sz w:val="19"/>
          <w:szCs w:val="19"/>
          <w:highlight w:val="white"/>
          <w:rtl w:val="0"/>
        </w:rPr>
        <w:t xml:space="preserve">[Internet]. Cáceres: Grupo Evalmed-GRADE, 2015 [Kontsulta: 2018-03-20]. 13 or. Eskuragarri:</w:t>
      </w:r>
    </w:p>
    <w:p w:rsidR="00000000" w:rsidDel="00000000" w:rsidP="00000000" w:rsidRDefault="00000000" w:rsidRPr="00000000" w14:paraId="0000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both"/>
        <w:rPr>
          <w:rFonts w:ascii="Calibri" w:cs="Calibri" w:eastAsia="Calibri" w:hAnsi="Calibri"/>
          <w:color w:val="666666"/>
          <w:sz w:val="20"/>
          <w:szCs w:val="20"/>
        </w:rPr>
      </w:pPr>
      <w:hyperlink r:id="rId6">
        <w:r w:rsidDel="00000000" w:rsidR="00000000" w:rsidRPr="00000000">
          <w:rPr>
            <w:color w:val="1155cc"/>
            <w:sz w:val="19"/>
            <w:szCs w:val="19"/>
            <w:highlight w:val="white"/>
            <w:u w:val="single"/>
            <w:rtl w:val="0"/>
          </w:rPr>
          <w:t xml:space="preserve">http://evalmedicamento.weebly.com/evaluaciones/category/prevenar13-adultos</w:t>
        </w:r>
      </w:hyperlink>
      <w:r w:rsidDel="00000000" w:rsidR="00000000" w:rsidRPr="00000000">
        <w:rPr>
          <w:rtl w:val="0"/>
        </w:rPr>
      </w:r>
    </w:p>
    <w:p w:rsidR="00000000" w:rsidDel="00000000" w:rsidP="00000000" w:rsidRDefault="00000000" w:rsidRPr="00000000" w14:paraId="0000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both"/>
        <w:rPr>
          <w:rFonts w:ascii="Calibri" w:cs="Calibri" w:eastAsia="Calibri" w:hAnsi="Calibri"/>
          <w:color w:val="666666"/>
          <w:sz w:val="20"/>
          <w:szCs w:val="20"/>
        </w:rPr>
      </w:pPr>
      <w:r w:rsidDel="00000000" w:rsidR="00000000" w:rsidRPr="00000000">
        <w:rPr>
          <w:rtl w:val="0"/>
        </w:rPr>
      </w:r>
    </w:p>
    <w:sectPr>
      <w:pgSz w:h="16838" w:w="11906"/>
      <w:pgMar w:bottom="873.0708661417325" w:top="873.0708661417325" w:left="992.1259842519686" w:right="992.125984251968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valmedicamento.weebly.com/evaluaciones/category/prevenar13-adul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